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3B" w:rsidRPr="00842677" w:rsidRDefault="00F92C9B" w:rsidP="00F92C9B">
      <w:pPr>
        <w:pStyle w:val="Kop1"/>
      </w:pPr>
      <w:bookmarkStart w:id="0" w:name="_GoBack"/>
      <w:bookmarkEnd w:id="0"/>
      <w:r>
        <w:t xml:space="preserve">Voorstelling </w:t>
      </w:r>
      <w:r w:rsidR="00720F3B" w:rsidRPr="00720F3B">
        <w:t>methodiek risicoanalyse integriteit</w:t>
      </w:r>
    </w:p>
    <w:p w:rsidR="00720F3B" w:rsidRDefault="00720F3B"/>
    <w:tbl>
      <w:tblPr>
        <w:tblStyle w:val="Tabelraster"/>
        <w:tblW w:w="0" w:type="auto"/>
        <w:tblLook w:val="04A0" w:firstRow="1" w:lastRow="0" w:firstColumn="1" w:lastColumn="0" w:noHBand="0" w:noVBand="1"/>
      </w:tblPr>
      <w:tblGrid>
        <w:gridCol w:w="1926"/>
        <w:gridCol w:w="7362"/>
      </w:tblGrid>
      <w:tr w:rsidR="00720F3B" w:rsidTr="00842677">
        <w:tc>
          <w:tcPr>
            <w:tcW w:w="2375" w:type="dxa"/>
          </w:tcPr>
          <w:p w:rsidR="00720F3B" w:rsidRPr="00842677" w:rsidRDefault="00842677">
            <w:pPr>
              <w:rPr>
                <w:b/>
                <w:color w:val="1F497D"/>
              </w:rPr>
            </w:pPr>
            <w:r>
              <w:rPr>
                <w:b/>
                <w:color w:val="1F497D"/>
              </w:rPr>
              <w:t xml:space="preserve">Titel en beknopte </w:t>
            </w:r>
            <w:r w:rsidR="00720F3B" w:rsidRPr="00842677">
              <w:rPr>
                <w:b/>
                <w:color w:val="1F497D"/>
              </w:rPr>
              <w:t xml:space="preserve"> beschrijving van project/oefening </w:t>
            </w:r>
          </w:p>
        </w:tc>
        <w:tc>
          <w:tcPr>
            <w:tcW w:w="6913" w:type="dxa"/>
          </w:tcPr>
          <w:p w:rsidR="00720F3B" w:rsidRDefault="00BE7283">
            <w:r w:rsidRPr="003A2A51">
              <w:rPr>
                <w:rFonts w:ascii="Tahoma" w:hAnsi="Tahoma"/>
                <w:sz w:val="20"/>
                <w:szCs w:val="20"/>
              </w:rPr>
              <w:t>de kwetsbare functies en de integritei</w:t>
            </w:r>
            <w:r>
              <w:rPr>
                <w:rFonts w:ascii="Tahoma" w:hAnsi="Tahoma"/>
                <w:sz w:val="20"/>
                <w:szCs w:val="20"/>
              </w:rPr>
              <w:t>tsrisico’s in kaart brengen</w:t>
            </w:r>
          </w:p>
        </w:tc>
      </w:tr>
      <w:tr w:rsidR="00720F3B" w:rsidTr="00842677">
        <w:tc>
          <w:tcPr>
            <w:tcW w:w="2375" w:type="dxa"/>
          </w:tcPr>
          <w:p w:rsidR="00720F3B" w:rsidRPr="00842677" w:rsidRDefault="00720F3B" w:rsidP="00720F3B">
            <w:pPr>
              <w:rPr>
                <w:b/>
                <w:color w:val="1F497D"/>
              </w:rPr>
            </w:pPr>
            <w:r w:rsidRPr="00842677">
              <w:rPr>
                <w:b/>
                <w:color w:val="1F497D"/>
              </w:rPr>
              <w:t>gehanteerde methodologie</w:t>
            </w:r>
            <w:r w:rsidR="00842677">
              <w:rPr>
                <w:b/>
                <w:color w:val="1F497D"/>
              </w:rPr>
              <w:t xml:space="preserve"> </w:t>
            </w:r>
            <w:r w:rsidR="00842677" w:rsidRPr="00842677">
              <w:rPr>
                <w:b/>
                <w:i/>
                <w:color w:val="1F497D"/>
                <w:sz w:val="18"/>
                <w:szCs w:val="18"/>
              </w:rPr>
              <w:t xml:space="preserve">(bv proces of functie-georiënteerd, gebaseerd op leidraad van IAVA, </w:t>
            </w:r>
            <w:proofErr w:type="spellStart"/>
            <w:r w:rsidR="00842677" w:rsidRPr="00842677">
              <w:rPr>
                <w:b/>
                <w:i/>
                <w:color w:val="1F497D"/>
                <w:sz w:val="18"/>
                <w:szCs w:val="18"/>
              </w:rPr>
              <w:t>ahv</w:t>
            </w:r>
            <w:proofErr w:type="spellEnd"/>
            <w:r w:rsidR="00842677" w:rsidRPr="00842677">
              <w:rPr>
                <w:b/>
                <w:i/>
                <w:color w:val="1F497D"/>
                <w:sz w:val="18"/>
                <w:szCs w:val="18"/>
              </w:rPr>
              <w:t xml:space="preserve"> handleiding kwetsbare functies, gebaseerd op handboek van BIOS…)</w:t>
            </w:r>
            <w:r w:rsidRPr="00842677">
              <w:rPr>
                <w:b/>
                <w:color w:val="1F497D"/>
              </w:rPr>
              <w:t xml:space="preserve"> (en bijbehorende documenten)</w:t>
            </w:r>
          </w:p>
          <w:p w:rsidR="00720F3B" w:rsidRPr="00842677" w:rsidRDefault="00720F3B">
            <w:pPr>
              <w:rPr>
                <w:b/>
              </w:rPr>
            </w:pPr>
          </w:p>
        </w:tc>
        <w:tc>
          <w:tcPr>
            <w:tcW w:w="6913" w:type="dxa"/>
          </w:tcPr>
          <w:p w:rsidR="00BE7283" w:rsidRPr="00BE7283" w:rsidRDefault="00BE7283" w:rsidP="00BE7283">
            <w:pPr>
              <w:rPr>
                <w:rFonts w:ascii="Tahoma" w:hAnsi="Tahoma" w:cs="Tahoma"/>
                <w:sz w:val="20"/>
                <w:szCs w:val="20"/>
              </w:rPr>
            </w:pPr>
            <w:r w:rsidRPr="00BE7283">
              <w:rPr>
                <w:rFonts w:ascii="Tahoma" w:hAnsi="Tahoma" w:cs="Tahoma"/>
                <w:sz w:val="20"/>
                <w:szCs w:val="20"/>
              </w:rPr>
              <w:t>De NL methode (gebaseerd op de handreiking kwetsbare functies van BIOS)</w:t>
            </w:r>
          </w:p>
          <w:p w:rsidR="00BE7283" w:rsidRPr="00BE7283" w:rsidRDefault="0029595C" w:rsidP="00BE7283">
            <w:pPr>
              <w:rPr>
                <w:rFonts w:ascii="Tahoma" w:hAnsi="Tahoma" w:cs="Tahoma"/>
                <w:color w:val="000080"/>
                <w:sz w:val="20"/>
                <w:szCs w:val="20"/>
                <w:lang w:val="nl-NL"/>
              </w:rPr>
            </w:pPr>
            <w:hyperlink r:id="rId6" w:tooltip="http://www.integriteitoverheid.nl/fileadmin/BIOS/data/Toolbox/Handreikingen/Kwetsbare_functies.pdf" w:history="1">
              <w:r w:rsidR="00BE7283" w:rsidRPr="00BE7283">
                <w:rPr>
                  <w:rFonts w:ascii="Tahoma" w:hAnsi="Tahoma" w:cs="Tahoma"/>
                  <w:color w:val="0000FF"/>
                  <w:sz w:val="20"/>
                  <w:szCs w:val="20"/>
                  <w:u w:val="single"/>
                  <w:lang w:val="nl-NL"/>
                </w:rPr>
                <w:t>http://www.integriteitoverheid.nl/fileadmin/BIOS/data/Toolbox/Handreikingen/Kwetsbare_functies.pdf</w:t>
              </w:r>
            </w:hyperlink>
          </w:p>
          <w:p w:rsidR="00720F3B" w:rsidRPr="00BE7283" w:rsidRDefault="00720F3B" w:rsidP="00BE7283">
            <w:pPr>
              <w:rPr>
                <w:rFonts w:ascii="Tahoma" w:hAnsi="Tahoma" w:cs="Tahoma"/>
                <w:sz w:val="20"/>
                <w:szCs w:val="20"/>
              </w:rPr>
            </w:pPr>
          </w:p>
        </w:tc>
      </w:tr>
      <w:tr w:rsidR="00720F3B" w:rsidTr="00842677">
        <w:tc>
          <w:tcPr>
            <w:tcW w:w="2375" w:type="dxa"/>
          </w:tcPr>
          <w:p w:rsidR="00720F3B" w:rsidRPr="00842677" w:rsidRDefault="00842677" w:rsidP="00720F3B">
            <w:pPr>
              <w:rPr>
                <w:b/>
                <w:color w:val="1F497D"/>
              </w:rPr>
            </w:pPr>
            <w:r>
              <w:rPr>
                <w:b/>
                <w:color w:val="1F497D"/>
              </w:rPr>
              <w:t>K</w:t>
            </w:r>
            <w:r w:rsidR="00720F3B" w:rsidRPr="00842677">
              <w:rPr>
                <w:b/>
                <w:color w:val="1F497D"/>
              </w:rPr>
              <w:t xml:space="preserve">orte beschrijving van de </w:t>
            </w:r>
            <w:r w:rsidRPr="00842677">
              <w:rPr>
                <w:b/>
                <w:color w:val="1F497D"/>
              </w:rPr>
              <w:t xml:space="preserve">methode </w:t>
            </w:r>
            <w:r>
              <w:rPr>
                <w:b/>
                <w:color w:val="1F497D"/>
              </w:rPr>
              <w:t>met de verschillende stappen</w:t>
            </w:r>
          </w:p>
          <w:p w:rsidR="00720F3B" w:rsidRPr="00842677" w:rsidRDefault="00720F3B">
            <w:pPr>
              <w:rPr>
                <w:b/>
              </w:rPr>
            </w:pPr>
          </w:p>
        </w:tc>
        <w:tc>
          <w:tcPr>
            <w:tcW w:w="6913" w:type="dxa"/>
          </w:tcPr>
          <w:p w:rsidR="00BE7283" w:rsidRPr="00BE7283" w:rsidRDefault="00BE7283" w:rsidP="00BE7283">
            <w:pPr>
              <w:pStyle w:val="Lijstalinea"/>
              <w:numPr>
                <w:ilvl w:val="0"/>
                <w:numId w:val="3"/>
              </w:numPr>
              <w:ind w:left="460"/>
              <w:rPr>
                <w:rFonts w:ascii="Tahoma" w:hAnsi="Tahoma"/>
                <w:sz w:val="20"/>
                <w:szCs w:val="20"/>
              </w:rPr>
            </w:pPr>
            <w:r w:rsidRPr="00BE7283">
              <w:rPr>
                <w:rFonts w:ascii="Tahoma" w:hAnsi="Tahoma"/>
                <w:sz w:val="20"/>
                <w:szCs w:val="20"/>
              </w:rPr>
              <w:t>Voor elke functie binnen De Scheepvaart werd per afdeling in samenspraak met het afdelingshoofd nagegaan of er kwetsbare handelingen in voorkomen. Met kwetsbare handelingen worden de handelingen bedoeld die gevoelig zijn voor integriteitsschendingen, zoals bijvoorbeeld het beheren van een budget of het omgaan met gevoelige informatie. De kwetsbare handelingen worden ondergebracht in zes domeinen:</w:t>
            </w:r>
          </w:p>
          <w:p w:rsidR="00BE7283" w:rsidRPr="00B370F4" w:rsidRDefault="00BE7283" w:rsidP="00BE7283">
            <w:pPr>
              <w:pStyle w:val="Lijstalinea"/>
              <w:numPr>
                <w:ilvl w:val="0"/>
                <w:numId w:val="2"/>
              </w:numPr>
              <w:ind w:left="1560"/>
              <w:rPr>
                <w:rFonts w:ascii="Tahoma" w:hAnsi="Tahoma"/>
                <w:sz w:val="20"/>
                <w:szCs w:val="20"/>
              </w:rPr>
            </w:pPr>
            <w:r w:rsidRPr="00B370F4">
              <w:rPr>
                <w:rFonts w:ascii="Tahoma" w:hAnsi="Tahoma"/>
                <w:sz w:val="20"/>
                <w:szCs w:val="20"/>
              </w:rPr>
              <w:t>geld (budget en onkostennota’s, innen en uitkeren)</w:t>
            </w:r>
          </w:p>
          <w:p w:rsidR="00BE7283" w:rsidRPr="00B370F4" w:rsidRDefault="00BE7283" w:rsidP="00BE7283">
            <w:pPr>
              <w:pStyle w:val="Lijstalinea"/>
              <w:numPr>
                <w:ilvl w:val="0"/>
                <w:numId w:val="2"/>
              </w:numPr>
              <w:ind w:left="1560"/>
              <w:rPr>
                <w:rFonts w:ascii="Tahoma" w:hAnsi="Tahoma"/>
                <w:sz w:val="20"/>
                <w:szCs w:val="20"/>
              </w:rPr>
            </w:pPr>
            <w:r w:rsidRPr="00B370F4">
              <w:rPr>
                <w:rFonts w:ascii="Tahoma" w:hAnsi="Tahoma"/>
                <w:sz w:val="20"/>
                <w:szCs w:val="20"/>
              </w:rPr>
              <w:t>uitbestedingen aan derden</w:t>
            </w:r>
          </w:p>
          <w:p w:rsidR="00BE7283" w:rsidRPr="00B370F4" w:rsidRDefault="00BE7283" w:rsidP="00BE7283">
            <w:pPr>
              <w:pStyle w:val="Lijstalinea"/>
              <w:numPr>
                <w:ilvl w:val="0"/>
                <w:numId w:val="2"/>
              </w:numPr>
              <w:ind w:left="1560"/>
              <w:rPr>
                <w:rFonts w:ascii="Tahoma" w:hAnsi="Tahoma"/>
                <w:sz w:val="20"/>
                <w:szCs w:val="20"/>
              </w:rPr>
            </w:pPr>
            <w:r w:rsidRPr="00B370F4">
              <w:rPr>
                <w:rFonts w:ascii="Tahoma" w:hAnsi="Tahoma"/>
                <w:sz w:val="20"/>
                <w:szCs w:val="20"/>
              </w:rPr>
              <w:t>goederen en diensten</w:t>
            </w:r>
          </w:p>
          <w:p w:rsidR="00BE7283" w:rsidRPr="00B370F4" w:rsidRDefault="00BE7283" w:rsidP="00BE7283">
            <w:pPr>
              <w:pStyle w:val="Lijstalinea"/>
              <w:numPr>
                <w:ilvl w:val="0"/>
                <w:numId w:val="2"/>
              </w:numPr>
              <w:ind w:left="1560"/>
              <w:rPr>
                <w:rFonts w:ascii="Tahoma" w:hAnsi="Tahoma"/>
                <w:sz w:val="20"/>
                <w:szCs w:val="20"/>
              </w:rPr>
            </w:pPr>
            <w:r w:rsidRPr="00B370F4">
              <w:rPr>
                <w:rFonts w:ascii="Tahoma" w:hAnsi="Tahoma"/>
                <w:sz w:val="20"/>
                <w:szCs w:val="20"/>
              </w:rPr>
              <w:t>vertrouwelijke info</w:t>
            </w:r>
          </w:p>
          <w:p w:rsidR="00BE7283" w:rsidRPr="00B370F4" w:rsidRDefault="00BE7283" w:rsidP="00BE7283">
            <w:pPr>
              <w:pStyle w:val="Lijstalinea"/>
              <w:numPr>
                <w:ilvl w:val="0"/>
                <w:numId w:val="2"/>
              </w:numPr>
              <w:ind w:left="1560"/>
              <w:rPr>
                <w:rFonts w:ascii="Tahoma" w:hAnsi="Tahoma"/>
                <w:sz w:val="20"/>
                <w:szCs w:val="20"/>
              </w:rPr>
            </w:pPr>
            <w:r w:rsidRPr="00B370F4">
              <w:rPr>
                <w:rFonts w:ascii="Tahoma" w:hAnsi="Tahoma"/>
                <w:sz w:val="20"/>
                <w:szCs w:val="20"/>
              </w:rPr>
              <w:t>interne handhaving</w:t>
            </w:r>
          </w:p>
          <w:p w:rsidR="00BE7283" w:rsidRPr="00B370F4" w:rsidRDefault="00BE7283" w:rsidP="00BE7283">
            <w:pPr>
              <w:pStyle w:val="Lijstalinea"/>
              <w:numPr>
                <w:ilvl w:val="0"/>
                <w:numId w:val="2"/>
              </w:numPr>
              <w:ind w:left="1560"/>
              <w:rPr>
                <w:rFonts w:ascii="Tahoma" w:hAnsi="Tahoma"/>
                <w:sz w:val="20"/>
                <w:szCs w:val="20"/>
              </w:rPr>
            </w:pPr>
            <w:r w:rsidRPr="00B370F4">
              <w:rPr>
                <w:rFonts w:ascii="Tahoma" w:hAnsi="Tahoma"/>
                <w:sz w:val="20"/>
                <w:szCs w:val="20"/>
              </w:rPr>
              <w:t>vergunningen en legitimatiebewijzen</w:t>
            </w:r>
          </w:p>
          <w:p w:rsidR="00BE7283" w:rsidRDefault="00BE7283" w:rsidP="00BE7283">
            <w:pPr>
              <w:pStyle w:val="Lijstalinea"/>
              <w:ind w:left="1134"/>
              <w:rPr>
                <w:rFonts w:ascii="Tahoma" w:hAnsi="Tahoma"/>
                <w:sz w:val="20"/>
                <w:szCs w:val="20"/>
              </w:rPr>
            </w:pPr>
          </w:p>
          <w:p w:rsidR="00BE7283" w:rsidRPr="000002C7" w:rsidRDefault="00BE7283" w:rsidP="00BE7283">
            <w:pPr>
              <w:ind w:left="460"/>
            </w:pPr>
            <w:r w:rsidRPr="000002C7">
              <w:t>De kwetsbare functies w</w:t>
            </w:r>
            <w:r>
              <w:t>e</w:t>
            </w:r>
            <w:r w:rsidRPr="000002C7">
              <w:t>rden geïdentificeerd van hoog</w:t>
            </w:r>
            <w:r>
              <w:t xml:space="preserve"> (3)</w:t>
            </w:r>
            <w:r w:rsidRPr="000002C7">
              <w:t xml:space="preserve">, gemiddeld </w:t>
            </w:r>
            <w:r>
              <w:t xml:space="preserve">(2) </w:t>
            </w:r>
            <w:r w:rsidRPr="000002C7">
              <w:t>en laag</w:t>
            </w:r>
            <w:r>
              <w:t xml:space="preserve"> (1)</w:t>
            </w:r>
            <w:r w:rsidRPr="000002C7">
              <w:t>. Dit moet ons in staat stellen om doelgroepgerichte acties te ondernemen om het risico op integriteitsschendingen te beperken.</w:t>
            </w:r>
          </w:p>
          <w:p w:rsidR="00BE7283" w:rsidRPr="00204161" w:rsidRDefault="00BE7283" w:rsidP="00BE7283">
            <w:pPr>
              <w:ind w:left="460"/>
              <w:rPr>
                <w:rFonts w:ascii="Tahoma" w:hAnsi="Tahoma"/>
                <w:sz w:val="20"/>
                <w:szCs w:val="20"/>
              </w:rPr>
            </w:pPr>
            <w:r w:rsidRPr="00204161">
              <w:rPr>
                <w:rFonts w:ascii="Tahoma" w:hAnsi="Tahoma"/>
                <w:sz w:val="20"/>
                <w:szCs w:val="20"/>
              </w:rPr>
              <w:t>Vermits integriteit een zaak is van alle personeelsleden binnen De Scheepvaart, werd geen enkele functie als niet kwetsbaar gecatalogeerd.</w:t>
            </w:r>
          </w:p>
          <w:p w:rsidR="00051A3A" w:rsidRDefault="00051A3A" w:rsidP="00051A3A">
            <w:pPr>
              <w:pStyle w:val="Lijstalinea"/>
              <w:numPr>
                <w:ilvl w:val="0"/>
                <w:numId w:val="4"/>
              </w:numPr>
              <w:ind w:left="460"/>
              <w:rPr>
                <w:rFonts w:cs="Tahoma"/>
                <w:szCs w:val="20"/>
                <w:lang w:val="nl-NL"/>
              </w:rPr>
            </w:pPr>
            <w:r>
              <w:rPr>
                <w:rFonts w:cs="Tahoma"/>
                <w:szCs w:val="20"/>
                <w:lang w:val="nl-NL"/>
              </w:rPr>
              <w:t>D</w:t>
            </w:r>
            <w:r w:rsidRPr="0002029C">
              <w:rPr>
                <w:rFonts w:cs="Tahoma"/>
                <w:szCs w:val="20"/>
                <w:lang w:val="nl-NL"/>
              </w:rPr>
              <w:t>e bestaande beheersmaatregelen (</w:t>
            </w:r>
            <w:r>
              <w:rPr>
                <w:rFonts w:cs="Tahoma"/>
                <w:szCs w:val="20"/>
                <w:lang w:val="nl-NL"/>
              </w:rPr>
              <w:t xml:space="preserve">(intern controlesysteem zoals </w:t>
            </w:r>
            <w:r w:rsidRPr="0002029C">
              <w:rPr>
                <w:rFonts w:cs="Tahoma"/>
                <w:szCs w:val="20"/>
                <w:lang w:val="nl-NL"/>
              </w:rPr>
              <w:t xml:space="preserve">functiescheiding, IT rechten gescheiden houden, delen van informatie, </w:t>
            </w:r>
            <w:proofErr w:type="spellStart"/>
            <w:r w:rsidRPr="0002029C">
              <w:rPr>
                <w:rFonts w:cs="Tahoma"/>
                <w:szCs w:val="20"/>
                <w:lang w:val="nl-NL"/>
              </w:rPr>
              <w:t>vierogenprincipe</w:t>
            </w:r>
            <w:proofErr w:type="spellEnd"/>
            <w:r w:rsidRPr="0002029C">
              <w:rPr>
                <w:rFonts w:cs="Tahoma"/>
                <w:szCs w:val="20"/>
                <w:lang w:val="nl-NL"/>
              </w:rPr>
              <w:t>, dubbele handtekening, rotatie</w:t>
            </w:r>
            <w:r>
              <w:rPr>
                <w:rFonts w:cs="Tahoma"/>
                <w:szCs w:val="20"/>
                <w:lang w:val="nl-NL"/>
              </w:rPr>
              <w:t>, bepaalde software programma’s,</w:t>
            </w:r>
            <w:r w:rsidRPr="0002029C">
              <w:rPr>
                <w:rFonts w:cs="Tahoma"/>
                <w:szCs w:val="20"/>
                <w:lang w:val="nl-NL"/>
              </w:rPr>
              <w:t>..</w:t>
            </w:r>
            <w:r>
              <w:rPr>
                <w:rFonts w:cs="Tahoma"/>
                <w:szCs w:val="20"/>
                <w:lang w:val="nl-NL"/>
              </w:rPr>
              <w:t>.)</w:t>
            </w:r>
            <w:r w:rsidRPr="0002029C">
              <w:rPr>
                <w:rFonts w:cs="Tahoma"/>
                <w:szCs w:val="20"/>
                <w:lang w:val="nl-NL"/>
              </w:rPr>
              <w:t xml:space="preserve"> die de mogelijkheid tot integriteitsschendingen moeten vermijden</w:t>
            </w:r>
            <w:r>
              <w:rPr>
                <w:rFonts w:cs="Tahoma"/>
                <w:szCs w:val="20"/>
                <w:lang w:val="nl-NL"/>
              </w:rPr>
              <w:t>/beperken</w:t>
            </w:r>
            <w:r w:rsidRPr="0002029C">
              <w:rPr>
                <w:rFonts w:cs="Tahoma"/>
                <w:szCs w:val="20"/>
                <w:lang w:val="nl-NL"/>
              </w:rPr>
              <w:t xml:space="preserve"> </w:t>
            </w:r>
            <w:r>
              <w:rPr>
                <w:rFonts w:cs="Tahoma"/>
                <w:szCs w:val="20"/>
                <w:lang w:val="nl-NL"/>
              </w:rPr>
              <w:t xml:space="preserve">werden </w:t>
            </w:r>
            <w:proofErr w:type="spellStart"/>
            <w:r>
              <w:rPr>
                <w:rFonts w:cs="Tahoma"/>
                <w:szCs w:val="20"/>
                <w:lang w:val="nl-NL"/>
              </w:rPr>
              <w:t>opgelijst</w:t>
            </w:r>
            <w:proofErr w:type="spellEnd"/>
            <w:r>
              <w:rPr>
                <w:rFonts w:cs="Tahoma"/>
                <w:szCs w:val="20"/>
                <w:lang w:val="nl-NL"/>
              </w:rPr>
              <w:t xml:space="preserve"> en mee in rekening gebracht bij de inschaling van de kwetsbare functies</w:t>
            </w:r>
            <w:r w:rsidRPr="0002029C">
              <w:rPr>
                <w:rFonts w:cs="Tahoma"/>
                <w:szCs w:val="20"/>
                <w:lang w:val="nl-NL"/>
              </w:rPr>
              <w:t>.</w:t>
            </w:r>
          </w:p>
          <w:p w:rsidR="00720F3B" w:rsidRDefault="00BE7283" w:rsidP="00BE7283">
            <w:pPr>
              <w:pStyle w:val="Lijstalinea"/>
              <w:numPr>
                <w:ilvl w:val="0"/>
                <w:numId w:val="4"/>
              </w:numPr>
              <w:ind w:left="460"/>
            </w:pPr>
            <w:r>
              <w:t>Validatie van de lijst met kwetsbare functies door het managementteam (gedelegeerd bestuurder, algemeen directeur en de 7 afdelingshoofden).</w:t>
            </w:r>
          </w:p>
          <w:p w:rsidR="00051A3A" w:rsidRPr="00BE7283" w:rsidRDefault="00051A3A" w:rsidP="00051A3A">
            <w:pPr>
              <w:pStyle w:val="Lijstalinea"/>
              <w:numPr>
                <w:ilvl w:val="0"/>
                <w:numId w:val="4"/>
              </w:numPr>
              <w:ind w:left="460"/>
            </w:pPr>
            <w:r>
              <w:t xml:space="preserve">opmaak van een actieplan </w:t>
            </w:r>
            <w:r w:rsidR="00AB5128">
              <w:t xml:space="preserve">voor 2012 en 2013 </w:t>
            </w:r>
            <w:r>
              <w:t xml:space="preserve">per doelgroep </w:t>
            </w:r>
          </w:p>
        </w:tc>
      </w:tr>
      <w:tr w:rsidR="00720F3B" w:rsidTr="00842677">
        <w:tc>
          <w:tcPr>
            <w:tcW w:w="2375" w:type="dxa"/>
          </w:tcPr>
          <w:p w:rsidR="00720F3B" w:rsidRPr="00842677" w:rsidRDefault="00842677" w:rsidP="00720F3B">
            <w:pPr>
              <w:rPr>
                <w:b/>
                <w:color w:val="1F497D"/>
              </w:rPr>
            </w:pPr>
            <w:r>
              <w:rPr>
                <w:b/>
                <w:color w:val="1F497D"/>
              </w:rPr>
              <w:t>O</w:t>
            </w:r>
            <w:r w:rsidR="00720F3B" w:rsidRPr="00842677">
              <w:rPr>
                <w:b/>
                <w:color w:val="1F497D"/>
              </w:rPr>
              <w:t>utput van de stappen/methode</w:t>
            </w:r>
          </w:p>
          <w:p w:rsidR="00720F3B" w:rsidRPr="00842677" w:rsidRDefault="00842677">
            <w:pPr>
              <w:rPr>
                <w:b/>
                <w:i/>
                <w:sz w:val="18"/>
                <w:szCs w:val="18"/>
              </w:rPr>
            </w:pPr>
            <w:r w:rsidRPr="00842677">
              <w:rPr>
                <w:b/>
                <w:i/>
                <w:sz w:val="18"/>
                <w:szCs w:val="18"/>
              </w:rPr>
              <w:t>(welke documenten, concrete acties,… zijn het resultaat van uw aanpak?)</w:t>
            </w:r>
          </w:p>
        </w:tc>
        <w:tc>
          <w:tcPr>
            <w:tcW w:w="6913" w:type="dxa"/>
          </w:tcPr>
          <w:p w:rsidR="00BE7283" w:rsidRPr="00BE7049" w:rsidRDefault="00BE7283" w:rsidP="00BE7283">
            <w:pPr>
              <w:pStyle w:val="Lijstalinea"/>
              <w:numPr>
                <w:ilvl w:val="0"/>
                <w:numId w:val="4"/>
              </w:numPr>
              <w:ind w:left="460"/>
              <w:rPr>
                <w:rFonts w:cs="Tahoma"/>
                <w:szCs w:val="20"/>
                <w:lang w:val="nl-NL"/>
              </w:rPr>
            </w:pPr>
            <w:r>
              <w:t>Workshop integriteit voor het managementteam</w:t>
            </w:r>
            <w:r w:rsidR="00051A3A">
              <w:t>, N-2  functies en districtshoofden</w:t>
            </w:r>
            <w:r>
              <w:t xml:space="preserve">, met mini-dilemmatraining, verkennen rol van leidinggevenden en validatie verdere uitrol in samenwerking met </w:t>
            </w:r>
            <w:proofErr w:type="spellStart"/>
            <w:r>
              <w:t>AgO</w:t>
            </w:r>
            <w:proofErr w:type="spellEnd"/>
            <w:r>
              <w:t>.</w:t>
            </w:r>
          </w:p>
          <w:p w:rsidR="00720F3B" w:rsidRDefault="00BE7049" w:rsidP="00BE7049">
            <w:pPr>
              <w:pStyle w:val="Lijstalinea"/>
              <w:numPr>
                <w:ilvl w:val="0"/>
                <w:numId w:val="4"/>
              </w:numPr>
              <w:ind w:left="460"/>
            </w:pPr>
            <w:r>
              <w:t xml:space="preserve">dilemmatraining voor alle personeelsleden met </w:t>
            </w:r>
            <w:r w:rsidR="00BE7283" w:rsidRPr="00BE7283">
              <w:rPr>
                <w:rFonts w:cs="Tahoma"/>
                <w:szCs w:val="20"/>
                <w:lang w:val="nl-NL"/>
              </w:rPr>
              <w:t>groot risico en</w:t>
            </w:r>
            <w:r w:rsidR="00BE7283">
              <w:t xml:space="preserve"> indien risico’s niet voldoende gecoverd</w:t>
            </w:r>
            <w:r>
              <w:t xml:space="preserve"> worden door beheersmaatregelen</w:t>
            </w:r>
            <w:r w:rsidR="00BE7283">
              <w:t>.</w:t>
            </w:r>
          </w:p>
          <w:p w:rsidR="00BE7049" w:rsidRDefault="00BE7049" w:rsidP="00BE7049">
            <w:pPr>
              <w:pStyle w:val="Lijstalinea"/>
              <w:numPr>
                <w:ilvl w:val="0"/>
                <w:numId w:val="4"/>
              </w:numPr>
              <w:ind w:left="460"/>
            </w:pPr>
            <w:r>
              <w:t>integriteit als onderdeel van de evaluatie en planning (</w:t>
            </w:r>
            <w:proofErr w:type="spellStart"/>
            <w:r>
              <w:t>waardengebonden</w:t>
            </w:r>
            <w:proofErr w:type="spellEnd"/>
            <w:r>
              <w:t xml:space="preserve"> </w:t>
            </w:r>
            <w:r>
              <w:lastRenderedPageBreak/>
              <w:t xml:space="preserve">jaarafspraak in 2013). </w:t>
            </w:r>
          </w:p>
          <w:p w:rsidR="00BE7049" w:rsidRDefault="00BE7049" w:rsidP="00BE7049">
            <w:pPr>
              <w:pStyle w:val="Lijstalinea"/>
              <w:numPr>
                <w:ilvl w:val="0"/>
                <w:numId w:val="4"/>
              </w:numPr>
              <w:ind w:left="460"/>
            </w:pPr>
            <w:r>
              <w:t>communicatie via bestaande kanalen (intranet, intern magazine,..) en interne overlegstructuren zoals districts- en dienstoverleg, …</w:t>
            </w:r>
          </w:p>
          <w:p w:rsidR="00051A3A" w:rsidRDefault="00051A3A" w:rsidP="00AB5128">
            <w:pPr>
              <w:pStyle w:val="Lijstalinea"/>
              <w:ind w:left="460"/>
            </w:pPr>
          </w:p>
        </w:tc>
      </w:tr>
      <w:tr w:rsidR="00720F3B" w:rsidTr="00842677">
        <w:tc>
          <w:tcPr>
            <w:tcW w:w="2375" w:type="dxa"/>
          </w:tcPr>
          <w:p w:rsidR="00720F3B" w:rsidRPr="00842677" w:rsidRDefault="00842677" w:rsidP="00720F3B">
            <w:pPr>
              <w:rPr>
                <w:b/>
                <w:color w:val="1F497D"/>
              </w:rPr>
            </w:pPr>
            <w:r>
              <w:rPr>
                <w:b/>
                <w:color w:val="1F497D"/>
              </w:rPr>
              <w:lastRenderedPageBreak/>
              <w:t>V</w:t>
            </w:r>
            <w:r w:rsidR="00720F3B" w:rsidRPr="00842677">
              <w:rPr>
                <w:b/>
                <w:color w:val="1F497D"/>
              </w:rPr>
              <w:t>erdere stappen</w:t>
            </w:r>
          </w:p>
          <w:p w:rsidR="00720F3B" w:rsidRPr="00842677" w:rsidRDefault="00842677">
            <w:pPr>
              <w:rPr>
                <w:b/>
                <w:i/>
                <w:sz w:val="18"/>
                <w:szCs w:val="18"/>
              </w:rPr>
            </w:pPr>
            <w:r w:rsidRPr="00842677">
              <w:rPr>
                <w:b/>
                <w:i/>
                <w:sz w:val="18"/>
                <w:szCs w:val="18"/>
              </w:rPr>
              <w:t>(wat is het vervolg, hoe zet u het project verder?)</w:t>
            </w:r>
          </w:p>
        </w:tc>
        <w:tc>
          <w:tcPr>
            <w:tcW w:w="6913" w:type="dxa"/>
          </w:tcPr>
          <w:p w:rsidR="00AB5128" w:rsidRDefault="00BE7283" w:rsidP="00AB5128">
            <w:r>
              <w:t xml:space="preserve">Op basis van de analysetabel kwetsbare functies worden verdere beschermende initiatieven uitgewerkt waar </w:t>
            </w:r>
            <w:r w:rsidR="00BE7049">
              <w:t xml:space="preserve">nodig. </w:t>
            </w:r>
          </w:p>
          <w:p w:rsidR="00AB5128" w:rsidRDefault="00BE7049" w:rsidP="00AB5128">
            <w:r>
              <w:t>Naast de dilemmatraining moeten s</w:t>
            </w:r>
            <w:r w:rsidR="00AB5128">
              <w:t xml:space="preserve">ensibilisering, informatie en </w:t>
            </w:r>
            <w:r>
              <w:t xml:space="preserve">communicatie (centraal en via de hiërarchische lijn) leiden tot het bespreekbaar maken van integriteit en </w:t>
            </w:r>
            <w:r w:rsidR="00AB5128">
              <w:t xml:space="preserve">bij </w:t>
            </w:r>
            <w:r>
              <w:t xml:space="preserve">alle personeelsleden. </w:t>
            </w:r>
          </w:p>
          <w:p w:rsidR="00720F3B" w:rsidRDefault="00720F3B"/>
        </w:tc>
      </w:tr>
      <w:tr w:rsidR="00720F3B" w:rsidTr="00842677">
        <w:tc>
          <w:tcPr>
            <w:tcW w:w="2375" w:type="dxa"/>
          </w:tcPr>
          <w:p w:rsidR="00720F3B" w:rsidRPr="00842677" w:rsidRDefault="00720F3B" w:rsidP="00720F3B">
            <w:pPr>
              <w:rPr>
                <w:b/>
                <w:color w:val="1F497D"/>
              </w:rPr>
            </w:pPr>
            <w:r w:rsidRPr="00842677">
              <w:rPr>
                <w:b/>
                <w:color w:val="1F497D"/>
              </w:rPr>
              <w:t>Randvoorwaarden en aandachtpunten</w:t>
            </w:r>
          </w:p>
          <w:p w:rsidR="00720F3B" w:rsidRPr="00842677" w:rsidRDefault="00720F3B">
            <w:pPr>
              <w:rPr>
                <w:b/>
              </w:rPr>
            </w:pPr>
          </w:p>
        </w:tc>
        <w:tc>
          <w:tcPr>
            <w:tcW w:w="6913" w:type="dxa"/>
          </w:tcPr>
          <w:p w:rsidR="00720F3B" w:rsidRDefault="00BE7283" w:rsidP="00AB5128">
            <w:pPr>
              <w:pStyle w:val="Lijstalinea"/>
              <w:numPr>
                <w:ilvl w:val="0"/>
                <w:numId w:val="4"/>
              </w:numPr>
            </w:pPr>
            <w:r>
              <w:t xml:space="preserve">Integriteit is een traject </w:t>
            </w:r>
            <w:r w:rsidR="00051A3A">
              <w:t xml:space="preserve">waarbij de </w:t>
            </w:r>
            <w:r>
              <w:t>leidinggevenden</w:t>
            </w:r>
            <w:r w:rsidR="00051A3A">
              <w:t xml:space="preserve"> een cruciale rol spelen. </w:t>
            </w:r>
            <w:r>
              <w:t xml:space="preserve"> </w:t>
            </w:r>
          </w:p>
          <w:p w:rsidR="00051A3A" w:rsidRDefault="00051A3A" w:rsidP="00D468C7">
            <w:pPr>
              <w:pStyle w:val="Lijstalinea"/>
              <w:numPr>
                <w:ilvl w:val="0"/>
                <w:numId w:val="4"/>
              </w:numPr>
            </w:pPr>
            <w:r>
              <w:t>Initiatieven worden maximaal gekoppeld aan bestaande</w:t>
            </w:r>
            <w:r w:rsidR="00AB5128">
              <w:t xml:space="preserve"> </w:t>
            </w:r>
            <w:r>
              <w:t xml:space="preserve"> </w:t>
            </w:r>
            <w:r w:rsidR="00AB5128">
              <w:t>(opleiding- of coaching-</w:t>
            </w:r>
            <w:r w:rsidR="00D468C7">
              <w:t>)</w:t>
            </w:r>
            <w:r w:rsidR="00AB5128">
              <w:t xml:space="preserve"> </w:t>
            </w:r>
            <w:r w:rsidR="00D468C7">
              <w:t>trajecten</w:t>
            </w:r>
            <w:r w:rsidR="00AB5128">
              <w:t xml:space="preserve"> , </w:t>
            </w:r>
            <w:r>
              <w:t xml:space="preserve">communicatiekanalen </w:t>
            </w:r>
            <w:r w:rsidR="00AB5128">
              <w:t xml:space="preserve">en interne overlegstructuren zoals districts- en dienstoverleg, … </w:t>
            </w:r>
          </w:p>
        </w:tc>
      </w:tr>
      <w:tr w:rsidR="00720F3B" w:rsidTr="00842677">
        <w:tc>
          <w:tcPr>
            <w:tcW w:w="2375" w:type="dxa"/>
          </w:tcPr>
          <w:p w:rsidR="00720F3B" w:rsidRPr="00842677" w:rsidRDefault="00720F3B" w:rsidP="00720F3B">
            <w:pPr>
              <w:rPr>
                <w:b/>
                <w:color w:val="1F497D"/>
              </w:rPr>
            </w:pPr>
            <w:r w:rsidRPr="00842677">
              <w:rPr>
                <w:b/>
                <w:color w:val="1F497D"/>
              </w:rPr>
              <w:t xml:space="preserve">contactgegevens: </w:t>
            </w:r>
            <w:r w:rsidR="00842677">
              <w:rPr>
                <w:b/>
                <w:color w:val="1F497D"/>
              </w:rPr>
              <w:br/>
              <w:t xml:space="preserve">beleidsdomein, </w:t>
            </w:r>
            <w:r w:rsidRPr="00842677">
              <w:rPr>
                <w:b/>
                <w:color w:val="1F497D"/>
              </w:rPr>
              <w:t>entiteit, contactpersoon …</w:t>
            </w:r>
          </w:p>
          <w:p w:rsidR="00720F3B" w:rsidRPr="00842677" w:rsidRDefault="00720F3B">
            <w:pPr>
              <w:rPr>
                <w:b/>
              </w:rPr>
            </w:pPr>
          </w:p>
        </w:tc>
        <w:tc>
          <w:tcPr>
            <w:tcW w:w="6913" w:type="dxa"/>
          </w:tcPr>
          <w:p w:rsidR="00720F3B" w:rsidRDefault="00BE7283">
            <w:r>
              <w:t>nv De Scheepvaart, Paula Palmans, afdelingshoofd personeel en communicatie</w:t>
            </w:r>
          </w:p>
          <w:p w:rsidR="00BE7049" w:rsidRDefault="0029595C">
            <w:hyperlink r:id="rId7" w:history="1">
              <w:r w:rsidR="00BE7049" w:rsidRPr="007A09FC">
                <w:rPr>
                  <w:rStyle w:val="Hyperlink"/>
                </w:rPr>
                <w:t>p.palmans@descheepvaart.be</w:t>
              </w:r>
            </w:hyperlink>
            <w:r w:rsidR="00BE7049">
              <w:t xml:space="preserve"> tel. 011 23 84 86</w:t>
            </w:r>
          </w:p>
        </w:tc>
      </w:tr>
      <w:tr w:rsidR="00720F3B" w:rsidRPr="00F92C9B" w:rsidTr="00842677">
        <w:tc>
          <w:tcPr>
            <w:tcW w:w="2375" w:type="dxa"/>
          </w:tcPr>
          <w:p w:rsidR="00720F3B" w:rsidRDefault="00842677">
            <w:r w:rsidRPr="00842677">
              <w:rPr>
                <w:b/>
                <w:color w:val="1F497D" w:themeColor="text2"/>
              </w:rPr>
              <w:t>Referentie en documentatiemateriaal</w:t>
            </w:r>
            <w:r>
              <w:t xml:space="preserve"> </w:t>
            </w:r>
            <w:r w:rsidRPr="00842677">
              <w:rPr>
                <w:i/>
                <w:sz w:val="18"/>
                <w:szCs w:val="18"/>
              </w:rPr>
              <w:t>(materiaal dat u met collega’s kan delen)</w:t>
            </w:r>
          </w:p>
        </w:tc>
        <w:tc>
          <w:tcPr>
            <w:tcW w:w="6913" w:type="dxa"/>
          </w:tcPr>
          <w:p w:rsidR="00720F3B" w:rsidRPr="00F92C9B" w:rsidRDefault="00BE7283">
            <w:pPr>
              <w:rPr>
                <w:lang w:val="en-US"/>
              </w:rPr>
            </w:pPr>
            <w:proofErr w:type="spellStart"/>
            <w:r w:rsidRPr="00F92C9B">
              <w:rPr>
                <w:lang w:val="en-US"/>
              </w:rPr>
              <w:t>Cfr</w:t>
            </w:r>
            <w:proofErr w:type="spellEnd"/>
            <w:r w:rsidRPr="00F92C9B">
              <w:rPr>
                <w:lang w:val="en-US"/>
              </w:rPr>
              <w:t>. supra</w:t>
            </w:r>
          </w:p>
          <w:p w:rsidR="00BE7283" w:rsidRPr="00F92C9B" w:rsidRDefault="00051A3A" w:rsidP="00051A3A">
            <w:pPr>
              <w:rPr>
                <w:lang w:val="en-US"/>
              </w:rPr>
            </w:pPr>
            <w:r w:rsidRPr="00F92C9B">
              <w:rPr>
                <w:lang w:val="en-US"/>
              </w:rPr>
              <w:t xml:space="preserve">Workshop </w:t>
            </w:r>
            <w:proofErr w:type="spellStart"/>
            <w:r w:rsidRPr="00F92C9B">
              <w:rPr>
                <w:lang w:val="en-US"/>
              </w:rPr>
              <w:t>integriteit</w:t>
            </w:r>
            <w:proofErr w:type="spellEnd"/>
            <w:r w:rsidRPr="00F92C9B">
              <w:rPr>
                <w:lang w:val="en-US"/>
              </w:rPr>
              <w:t xml:space="preserve"> door </w:t>
            </w:r>
            <w:proofErr w:type="spellStart"/>
            <w:r w:rsidRPr="00F92C9B">
              <w:rPr>
                <w:lang w:val="en-US"/>
              </w:rPr>
              <w:t>AgO</w:t>
            </w:r>
            <w:proofErr w:type="spellEnd"/>
            <w:r w:rsidRPr="00F92C9B">
              <w:rPr>
                <w:lang w:val="en-US"/>
              </w:rPr>
              <w:t xml:space="preserve"> (G</w:t>
            </w:r>
            <w:r w:rsidR="00D468C7" w:rsidRPr="00F92C9B">
              <w:rPr>
                <w:lang w:val="en-US"/>
              </w:rPr>
              <w:t>erda Serbruyns)</w:t>
            </w:r>
          </w:p>
        </w:tc>
      </w:tr>
    </w:tbl>
    <w:p w:rsidR="00720F3B" w:rsidRPr="00F92C9B" w:rsidRDefault="00720F3B">
      <w:pPr>
        <w:rPr>
          <w:lang w:val="en-US"/>
        </w:rPr>
      </w:pPr>
    </w:p>
    <w:sectPr w:rsidR="00720F3B" w:rsidRPr="00F92C9B" w:rsidSect="00AA1F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7A7F"/>
    <w:multiLevelType w:val="hybridMultilevel"/>
    <w:tmpl w:val="5B00A764"/>
    <w:lvl w:ilvl="0" w:tplc="0813000F">
      <w:start w:val="1"/>
      <w:numFmt w:val="decimal"/>
      <w:lvlText w:val="%1."/>
      <w:lvlJc w:val="left"/>
      <w:pPr>
        <w:ind w:left="1134" w:hanging="360"/>
      </w:pPr>
    </w:lvl>
    <w:lvl w:ilvl="1" w:tplc="08130019" w:tentative="1">
      <w:start w:val="1"/>
      <w:numFmt w:val="lowerLetter"/>
      <w:lvlText w:val="%2."/>
      <w:lvlJc w:val="left"/>
      <w:pPr>
        <w:ind w:left="1854" w:hanging="360"/>
      </w:pPr>
    </w:lvl>
    <w:lvl w:ilvl="2" w:tplc="0813001B" w:tentative="1">
      <w:start w:val="1"/>
      <w:numFmt w:val="lowerRoman"/>
      <w:lvlText w:val="%3."/>
      <w:lvlJc w:val="right"/>
      <w:pPr>
        <w:ind w:left="2574" w:hanging="180"/>
      </w:pPr>
    </w:lvl>
    <w:lvl w:ilvl="3" w:tplc="0813000F" w:tentative="1">
      <w:start w:val="1"/>
      <w:numFmt w:val="decimal"/>
      <w:lvlText w:val="%4."/>
      <w:lvlJc w:val="left"/>
      <w:pPr>
        <w:ind w:left="3294" w:hanging="360"/>
      </w:pPr>
    </w:lvl>
    <w:lvl w:ilvl="4" w:tplc="08130019" w:tentative="1">
      <w:start w:val="1"/>
      <w:numFmt w:val="lowerLetter"/>
      <w:lvlText w:val="%5."/>
      <w:lvlJc w:val="left"/>
      <w:pPr>
        <w:ind w:left="4014" w:hanging="360"/>
      </w:pPr>
    </w:lvl>
    <w:lvl w:ilvl="5" w:tplc="0813001B" w:tentative="1">
      <w:start w:val="1"/>
      <w:numFmt w:val="lowerRoman"/>
      <w:lvlText w:val="%6."/>
      <w:lvlJc w:val="right"/>
      <w:pPr>
        <w:ind w:left="4734" w:hanging="180"/>
      </w:pPr>
    </w:lvl>
    <w:lvl w:ilvl="6" w:tplc="0813000F" w:tentative="1">
      <w:start w:val="1"/>
      <w:numFmt w:val="decimal"/>
      <w:lvlText w:val="%7."/>
      <w:lvlJc w:val="left"/>
      <w:pPr>
        <w:ind w:left="5454" w:hanging="360"/>
      </w:pPr>
    </w:lvl>
    <w:lvl w:ilvl="7" w:tplc="08130019" w:tentative="1">
      <w:start w:val="1"/>
      <w:numFmt w:val="lowerLetter"/>
      <w:lvlText w:val="%8."/>
      <w:lvlJc w:val="left"/>
      <w:pPr>
        <w:ind w:left="6174" w:hanging="360"/>
      </w:pPr>
    </w:lvl>
    <w:lvl w:ilvl="8" w:tplc="0813001B" w:tentative="1">
      <w:start w:val="1"/>
      <w:numFmt w:val="lowerRoman"/>
      <w:lvlText w:val="%9."/>
      <w:lvlJc w:val="right"/>
      <w:pPr>
        <w:ind w:left="6894" w:hanging="180"/>
      </w:pPr>
    </w:lvl>
  </w:abstractNum>
  <w:abstractNum w:abstractNumId="1">
    <w:nsid w:val="162A035E"/>
    <w:multiLevelType w:val="hybridMultilevel"/>
    <w:tmpl w:val="39A268B6"/>
    <w:lvl w:ilvl="0" w:tplc="04130011">
      <w:start w:val="1"/>
      <w:numFmt w:val="decimal"/>
      <w:lvlText w:val="%1)"/>
      <w:lvlJc w:val="left"/>
      <w:pPr>
        <w:tabs>
          <w:tab w:val="num" w:pos="2061"/>
        </w:tabs>
        <w:ind w:left="2061" w:hanging="360"/>
      </w:pPr>
      <w:rPr>
        <w:rFonts w:hint="default"/>
      </w:rPr>
    </w:lvl>
    <w:lvl w:ilvl="1" w:tplc="04130019" w:tentative="1">
      <w:start w:val="1"/>
      <w:numFmt w:val="lowerLetter"/>
      <w:lvlText w:val="%2."/>
      <w:lvlJc w:val="left"/>
      <w:pPr>
        <w:tabs>
          <w:tab w:val="num" w:pos="2781"/>
        </w:tabs>
        <w:ind w:left="2781" w:hanging="360"/>
      </w:pPr>
    </w:lvl>
    <w:lvl w:ilvl="2" w:tplc="0413001B" w:tentative="1">
      <w:start w:val="1"/>
      <w:numFmt w:val="lowerRoman"/>
      <w:lvlText w:val="%3."/>
      <w:lvlJc w:val="right"/>
      <w:pPr>
        <w:tabs>
          <w:tab w:val="num" w:pos="3501"/>
        </w:tabs>
        <w:ind w:left="3501" w:hanging="180"/>
      </w:pPr>
    </w:lvl>
    <w:lvl w:ilvl="3" w:tplc="0413000F" w:tentative="1">
      <w:start w:val="1"/>
      <w:numFmt w:val="decimal"/>
      <w:lvlText w:val="%4."/>
      <w:lvlJc w:val="left"/>
      <w:pPr>
        <w:tabs>
          <w:tab w:val="num" w:pos="4221"/>
        </w:tabs>
        <w:ind w:left="4221" w:hanging="360"/>
      </w:pPr>
    </w:lvl>
    <w:lvl w:ilvl="4" w:tplc="04130019" w:tentative="1">
      <w:start w:val="1"/>
      <w:numFmt w:val="lowerLetter"/>
      <w:lvlText w:val="%5."/>
      <w:lvlJc w:val="left"/>
      <w:pPr>
        <w:tabs>
          <w:tab w:val="num" w:pos="4941"/>
        </w:tabs>
        <w:ind w:left="4941" w:hanging="360"/>
      </w:pPr>
    </w:lvl>
    <w:lvl w:ilvl="5" w:tplc="0413001B" w:tentative="1">
      <w:start w:val="1"/>
      <w:numFmt w:val="lowerRoman"/>
      <w:lvlText w:val="%6."/>
      <w:lvlJc w:val="right"/>
      <w:pPr>
        <w:tabs>
          <w:tab w:val="num" w:pos="5661"/>
        </w:tabs>
        <w:ind w:left="5661" w:hanging="180"/>
      </w:pPr>
    </w:lvl>
    <w:lvl w:ilvl="6" w:tplc="0413000F" w:tentative="1">
      <w:start w:val="1"/>
      <w:numFmt w:val="decimal"/>
      <w:lvlText w:val="%7."/>
      <w:lvlJc w:val="left"/>
      <w:pPr>
        <w:tabs>
          <w:tab w:val="num" w:pos="6381"/>
        </w:tabs>
        <w:ind w:left="6381" w:hanging="360"/>
      </w:pPr>
    </w:lvl>
    <w:lvl w:ilvl="7" w:tplc="04130019" w:tentative="1">
      <w:start w:val="1"/>
      <w:numFmt w:val="lowerLetter"/>
      <w:lvlText w:val="%8."/>
      <w:lvlJc w:val="left"/>
      <w:pPr>
        <w:tabs>
          <w:tab w:val="num" w:pos="7101"/>
        </w:tabs>
        <w:ind w:left="7101" w:hanging="360"/>
      </w:pPr>
    </w:lvl>
    <w:lvl w:ilvl="8" w:tplc="0413001B" w:tentative="1">
      <w:start w:val="1"/>
      <w:numFmt w:val="lowerRoman"/>
      <w:lvlText w:val="%9."/>
      <w:lvlJc w:val="right"/>
      <w:pPr>
        <w:tabs>
          <w:tab w:val="num" w:pos="7821"/>
        </w:tabs>
        <w:ind w:left="7821" w:hanging="180"/>
      </w:pPr>
    </w:lvl>
  </w:abstractNum>
  <w:abstractNum w:abstractNumId="2">
    <w:nsid w:val="3F0A1269"/>
    <w:multiLevelType w:val="hybridMultilevel"/>
    <w:tmpl w:val="2E0E2818"/>
    <w:lvl w:ilvl="0" w:tplc="2BEC69A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5FF3D96"/>
    <w:multiLevelType w:val="hybridMultilevel"/>
    <w:tmpl w:val="F698E55C"/>
    <w:lvl w:ilvl="0" w:tplc="D6E23740">
      <w:numFmt w:val="bullet"/>
      <w:lvlText w:val="-"/>
      <w:lvlJc w:val="left"/>
      <w:pPr>
        <w:ind w:left="720" w:hanging="360"/>
      </w:pPr>
      <w:rPr>
        <w:rFonts w:ascii="Tahoma" w:eastAsiaTheme="minorHAnsi"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6920725"/>
    <w:multiLevelType w:val="hybridMultilevel"/>
    <w:tmpl w:val="5C349D0E"/>
    <w:lvl w:ilvl="0" w:tplc="26D0868E">
      <w:numFmt w:val="bullet"/>
      <w:lvlText w:val="-"/>
      <w:lvlJc w:val="left"/>
      <w:pPr>
        <w:ind w:left="720" w:hanging="360"/>
      </w:pPr>
      <w:rPr>
        <w:rFonts w:ascii="Tahoma" w:eastAsia="Calibri"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F3B"/>
    <w:rsid w:val="00051A3A"/>
    <w:rsid w:val="001235AB"/>
    <w:rsid w:val="0029595C"/>
    <w:rsid w:val="00392AC3"/>
    <w:rsid w:val="00720F3B"/>
    <w:rsid w:val="00842677"/>
    <w:rsid w:val="00A455AA"/>
    <w:rsid w:val="00AA1F7E"/>
    <w:rsid w:val="00AB5128"/>
    <w:rsid w:val="00BE7049"/>
    <w:rsid w:val="00BE7283"/>
    <w:rsid w:val="00C02243"/>
    <w:rsid w:val="00D468C7"/>
    <w:rsid w:val="00F92C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92C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0F3B"/>
    <w:pPr>
      <w:ind w:left="720"/>
      <w:contextualSpacing/>
    </w:pPr>
  </w:style>
  <w:style w:type="table" w:styleId="Tabelraster">
    <w:name w:val="Table Grid"/>
    <w:basedOn w:val="Standaardtabel"/>
    <w:uiPriority w:val="59"/>
    <w:rsid w:val="00720F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Standaardalinea-lettertype"/>
    <w:uiPriority w:val="99"/>
    <w:unhideWhenUsed/>
    <w:rsid w:val="00BE7049"/>
    <w:rPr>
      <w:color w:val="0000FF" w:themeColor="hyperlink"/>
      <w:u w:val="single"/>
    </w:rPr>
  </w:style>
  <w:style w:type="character" w:customStyle="1" w:styleId="Kop1Char">
    <w:name w:val="Kop 1 Char"/>
    <w:basedOn w:val="Standaardalinea-lettertype"/>
    <w:link w:val="Kop1"/>
    <w:uiPriority w:val="9"/>
    <w:rsid w:val="00F92C9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92C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0F3B"/>
    <w:pPr>
      <w:ind w:left="720"/>
      <w:contextualSpacing/>
    </w:pPr>
  </w:style>
  <w:style w:type="table" w:styleId="Tabelraster">
    <w:name w:val="Table Grid"/>
    <w:basedOn w:val="Standaardtabel"/>
    <w:uiPriority w:val="59"/>
    <w:rsid w:val="00720F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Standaardalinea-lettertype"/>
    <w:uiPriority w:val="99"/>
    <w:unhideWhenUsed/>
    <w:rsid w:val="00BE7049"/>
    <w:rPr>
      <w:color w:val="0000FF" w:themeColor="hyperlink"/>
      <w:u w:val="single"/>
    </w:rPr>
  </w:style>
  <w:style w:type="character" w:customStyle="1" w:styleId="Kop1Char">
    <w:name w:val="Kop 1 Char"/>
    <w:basedOn w:val="Standaardalinea-lettertype"/>
    <w:link w:val="Kop1"/>
    <w:uiPriority w:val="9"/>
    <w:rsid w:val="00F92C9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palmans@descheepvaar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griteitoverheid.nl/fileadmin/BIOS/data/Toolbox/Handreikingen/Kwetsbare_functies.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3411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Kristien Verbraeken</dc:creator>
  <cp:lastModifiedBy>De Wachter, Josefien</cp:lastModifiedBy>
  <cp:revision>4</cp:revision>
  <dcterms:created xsi:type="dcterms:W3CDTF">2012-02-08T14:52:00Z</dcterms:created>
  <dcterms:modified xsi:type="dcterms:W3CDTF">2012-10-25T09:27:00Z</dcterms:modified>
</cp:coreProperties>
</file>