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587" w:rsidRPr="00D46E99" w:rsidRDefault="000A4587" w:rsidP="004F18A0">
      <w:pPr>
        <w:rPr>
          <w:rFonts w:ascii="Arial" w:hAnsi="Arial" w:cs="Arial"/>
          <w:b/>
          <w:sz w:val="26"/>
          <w:szCs w:val="26"/>
          <w:u w:val="single"/>
        </w:rPr>
      </w:pPr>
      <w:bookmarkStart w:id="0" w:name="_GoBack"/>
      <w:bookmarkEnd w:id="0"/>
      <w:r w:rsidRPr="00D46E99">
        <w:rPr>
          <w:rFonts w:ascii="Arial" w:hAnsi="Arial" w:cs="Arial"/>
          <w:b/>
          <w:sz w:val="26"/>
          <w:szCs w:val="26"/>
          <w:u w:val="single"/>
        </w:rPr>
        <w:t xml:space="preserve">NOTA AAN HET </w:t>
      </w:r>
      <w:r>
        <w:rPr>
          <w:rFonts w:ascii="Arial" w:hAnsi="Arial" w:cs="Arial"/>
          <w:b/>
          <w:sz w:val="26"/>
          <w:szCs w:val="26"/>
          <w:u w:val="single"/>
        </w:rPr>
        <w:t>COLLEGE VAN AMBTENAREN-GENERAAL</w:t>
      </w:r>
    </w:p>
    <w:p w:rsidR="000A4587" w:rsidRPr="004F18A0" w:rsidRDefault="000A4587" w:rsidP="004F18A0">
      <w:pPr>
        <w:rPr>
          <w:rFonts w:ascii="Arial" w:hAnsi="Arial" w:cs="Arial"/>
        </w:rPr>
      </w:pPr>
    </w:p>
    <w:p w:rsidR="000A4587" w:rsidRPr="004F18A0" w:rsidRDefault="000A4587" w:rsidP="004F18A0">
      <w:pPr>
        <w:rPr>
          <w:rFonts w:ascii="Arial" w:hAnsi="Arial" w:cs="Arial"/>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2808"/>
        <w:gridCol w:w="6402"/>
      </w:tblGrid>
      <w:tr w:rsidR="000A4587" w:rsidRPr="006B5BB0" w:rsidTr="006B5BB0">
        <w:tc>
          <w:tcPr>
            <w:tcW w:w="2808" w:type="dxa"/>
          </w:tcPr>
          <w:p w:rsidR="000A4587" w:rsidRPr="006B5BB0" w:rsidRDefault="000A4587" w:rsidP="006B5BB0">
            <w:pPr>
              <w:spacing w:before="120" w:after="60"/>
              <w:rPr>
                <w:rFonts w:ascii="Arial" w:hAnsi="Arial" w:cs="Arial"/>
                <w:smallCaps/>
              </w:rPr>
            </w:pPr>
            <w:r w:rsidRPr="006B5BB0">
              <w:rPr>
                <w:rFonts w:ascii="Arial" w:hAnsi="Arial" w:cs="Arial"/>
                <w:smallCaps/>
              </w:rPr>
              <w:t>auteur</w:t>
            </w:r>
          </w:p>
        </w:tc>
        <w:tc>
          <w:tcPr>
            <w:tcW w:w="6402" w:type="dxa"/>
          </w:tcPr>
          <w:p w:rsidR="000A4587" w:rsidRDefault="000A4587" w:rsidP="006B5BB0">
            <w:pPr>
              <w:spacing w:before="120" w:after="60"/>
              <w:rPr>
                <w:rFonts w:ascii="Arial" w:hAnsi="Arial" w:cs="Arial"/>
              </w:rPr>
            </w:pPr>
            <w:r>
              <w:rPr>
                <w:rFonts w:ascii="Arial" w:hAnsi="Arial" w:cs="Arial"/>
              </w:rPr>
              <w:t>Frans Cornelis, projectsponsor (AgO)</w:t>
            </w:r>
          </w:p>
          <w:p w:rsidR="000A4587" w:rsidRPr="006B5BB0" w:rsidRDefault="000A4587" w:rsidP="008B3C07">
            <w:pPr>
              <w:spacing w:before="120" w:after="60"/>
              <w:rPr>
                <w:rFonts w:ascii="Arial" w:hAnsi="Arial" w:cs="Arial"/>
              </w:rPr>
            </w:pPr>
            <w:r>
              <w:rPr>
                <w:rFonts w:ascii="Arial" w:hAnsi="Arial" w:cs="Arial"/>
              </w:rPr>
              <w:t>Wim Verheyen, projectleider (Departement MOW)</w:t>
            </w:r>
          </w:p>
        </w:tc>
      </w:tr>
      <w:tr w:rsidR="000A4587" w:rsidRPr="006B5BB0" w:rsidTr="006B5BB0">
        <w:tc>
          <w:tcPr>
            <w:tcW w:w="2808" w:type="dxa"/>
          </w:tcPr>
          <w:p w:rsidR="000A4587" w:rsidRPr="006B5BB0" w:rsidRDefault="000A4587" w:rsidP="006B5BB0">
            <w:pPr>
              <w:spacing w:before="120" w:after="60"/>
              <w:rPr>
                <w:rFonts w:ascii="Arial" w:hAnsi="Arial" w:cs="Arial"/>
                <w:smallCaps/>
              </w:rPr>
            </w:pPr>
            <w:r w:rsidRPr="006B5BB0">
              <w:rPr>
                <w:rFonts w:ascii="Arial" w:hAnsi="Arial" w:cs="Arial"/>
                <w:smallCaps/>
              </w:rPr>
              <w:t>onderwerp</w:t>
            </w:r>
          </w:p>
        </w:tc>
        <w:tc>
          <w:tcPr>
            <w:tcW w:w="6402" w:type="dxa"/>
          </w:tcPr>
          <w:p w:rsidR="000A4587" w:rsidRPr="006B5BB0" w:rsidRDefault="000A4587" w:rsidP="006B5BB0">
            <w:pPr>
              <w:spacing w:before="120" w:after="60"/>
              <w:rPr>
                <w:rFonts w:ascii="Arial" w:hAnsi="Arial" w:cs="Arial"/>
              </w:rPr>
            </w:pPr>
            <w:r>
              <w:rPr>
                <w:rFonts w:ascii="Arial" w:hAnsi="Arial" w:cs="Arial"/>
              </w:rPr>
              <w:t xml:space="preserve">Sleutelproject Modern HR-beleid – deelproject mobiliteit – </w:t>
            </w:r>
            <w:r w:rsidRPr="008B3C07">
              <w:rPr>
                <w:rFonts w:ascii="Arial" w:hAnsi="Arial" w:cs="Arial"/>
                <w:b/>
              </w:rPr>
              <w:t>visietekst mobiliteit</w:t>
            </w:r>
            <w:r>
              <w:rPr>
                <w:rFonts w:ascii="Arial" w:hAnsi="Arial" w:cs="Arial"/>
              </w:rPr>
              <w:t xml:space="preserve"> </w:t>
            </w:r>
          </w:p>
        </w:tc>
      </w:tr>
    </w:tbl>
    <w:p w:rsidR="000A4587" w:rsidRDefault="000A4587" w:rsidP="004F18A0">
      <w:pPr>
        <w:rPr>
          <w:rFonts w:ascii="Arial" w:hAnsi="Arial" w:cs="Arial"/>
        </w:rPr>
      </w:pPr>
    </w:p>
    <w:p w:rsidR="000A4587" w:rsidRPr="00FB0D51" w:rsidRDefault="000A4587" w:rsidP="004F18A0">
      <w:pPr>
        <w:rPr>
          <w:rFonts w:ascii="Arial" w:hAnsi="Arial" w:cs="Arial"/>
        </w:rPr>
      </w:pPr>
    </w:p>
    <w:p w:rsidR="000A4587" w:rsidRPr="00FB0D51" w:rsidRDefault="000A4587" w:rsidP="004F18A0">
      <w:pPr>
        <w:rPr>
          <w:rFonts w:ascii="Arial" w:hAnsi="Arial" w:cs="Arial"/>
        </w:rPr>
      </w:pPr>
      <w:r w:rsidRPr="00FB0D51">
        <w:rPr>
          <w:rFonts w:ascii="Arial" w:hAnsi="Arial" w:cs="Arial"/>
        </w:rPr>
        <w:t xml:space="preserve">Op 10 mei </w:t>
      </w:r>
      <w:r>
        <w:rPr>
          <w:rFonts w:ascii="Arial" w:hAnsi="Arial" w:cs="Arial"/>
        </w:rPr>
        <w:t>2012 hechtte het CAG m.b.t. het sleutelproject Moder HR-beleid zijn goedkeuring aan de aangeduide trekkers van de 23 deelprojecten, zoals bepaald in de management samenvatti</w:t>
      </w:r>
      <w:r>
        <w:rPr>
          <w:rFonts w:ascii="Arial" w:hAnsi="Arial" w:cs="Arial"/>
        </w:rPr>
        <w:t>n</w:t>
      </w:r>
      <w:r>
        <w:rPr>
          <w:rFonts w:ascii="Arial" w:hAnsi="Arial" w:cs="Arial"/>
        </w:rPr>
        <w:t>gen (cfr document CAG/12/10.05/DOC.045). Eén van die deelprojecten heeft betrekking op de v</w:t>
      </w:r>
      <w:r>
        <w:rPr>
          <w:rFonts w:ascii="Arial" w:hAnsi="Arial" w:cs="Arial"/>
        </w:rPr>
        <w:t>i</w:t>
      </w:r>
      <w:r>
        <w:rPr>
          <w:rFonts w:ascii="Arial" w:hAnsi="Arial" w:cs="Arial"/>
        </w:rPr>
        <w:t>sietekst mobiliteit.</w:t>
      </w:r>
    </w:p>
    <w:p w:rsidR="000A4587" w:rsidRPr="00FB0D51" w:rsidRDefault="000A4587" w:rsidP="004F18A0">
      <w:pPr>
        <w:rPr>
          <w:rFonts w:ascii="Arial" w:hAnsi="Arial" w:cs="Arial"/>
        </w:rPr>
      </w:pPr>
    </w:p>
    <w:p w:rsidR="000A4587" w:rsidRPr="003452A3" w:rsidRDefault="000A4587" w:rsidP="004F18A0">
      <w:pPr>
        <w:rPr>
          <w:rFonts w:ascii="Arial" w:hAnsi="Arial" w:cs="Arial"/>
          <w:b/>
          <w:u w:val="single"/>
        </w:rPr>
      </w:pPr>
      <w:r>
        <w:rPr>
          <w:rFonts w:ascii="Arial" w:hAnsi="Arial" w:cs="Arial"/>
          <w:b/>
          <w:u w:val="single"/>
        </w:rPr>
        <w:t>Aan het CAG wordt voorgesteld</w:t>
      </w:r>
    </w:p>
    <w:p w:rsidR="000A4587" w:rsidRPr="003452A3" w:rsidRDefault="000A4587" w:rsidP="004F18A0">
      <w:pPr>
        <w:rPr>
          <w:rFonts w:ascii="Arial" w:hAnsi="Arial" w:cs="Arial"/>
          <w:b/>
          <w:sz w:val="16"/>
        </w:rPr>
      </w:pPr>
    </w:p>
    <w:p w:rsidR="000A4587" w:rsidRPr="003452A3" w:rsidRDefault="000A4587" w:rsidP="003452A3">
      <w:pPr>
        <w:numPr>
          <w:ilvl w:val="0"/>
          <w:numId w:val="24"/>
        </w:numPr>
        <w:rPr>
          <w:rFonts w:ascii="Arial" w:hAnsi="Arial" w:cs="Arial"/>
          <w:b/>
        </w:rPr>
      </w:pPr>
      <w:r w:rsidRPr="003452A3">
        <w:rPr>
          <w:rFonts w:ascii="Arial" w:hAnsi="Arial" w:cs="Arial"/>
          <w:b/>
        </w:rPr>
        <w:t>zijn goedkeuring te hechten aan de hiernavolgende visietekst mobiliteit;</w:t>
      </w:r>
    </w:p>
    <w:p w:rsidR="000A4587" w:rsidRPr="003452A3" w:rsidRDefault="000A4587" w:rsidP="003452A3">
      <w:pPr>
        <w:numPr>
          <w:ilvl w:val="0"/>
          <w:numId w:val="24"/>
        </w:numPr>
        <w:rPr>
          <w:rFonts w:ascii="Arial" w:hAnsi="Arial" w:cs="Arial"/>
          <w:b/>
        </w:rPr>
      </w:pPr>
      <w:r w:rsidRPr="003452A3">
        <w:rPr>
          <w:rFonts w:ascii="Arial" w:hAnsi="Arial" w:cs="Arial"/>
          <w:b/>
        </w:rPr>
        <w:t>de leidende ambtenaren aan te bevelen om deze verder te vertalen en co</w:t>
      </w:r>
      <w:r w:rsidRPr="003452A3">
        <w:rPr>
          <w:rFonts w:ascii="Arial" w:hAnsi="Arial" w:cs="Arial"/>
          <w:b/>
        </w:rPr>
        <w:t>n</w:t>
      </w:r>
      <w:r w:rsidRPr="003452A3">
        <w:rPr>
          <w:rFonts w:ascii="Arial" w:hAnsi="Arial" w:cs="Arial"/>
          <w:b/>
        </w:rPr>
        <w:t>cretiseren in het P&amp;O-beleid van hun eigen entiteit.</w:t>
      </w:r>
    </w:p>
    <w:p w:rsidR="000A4587" w:rsidRDefault="000A4587" w:rsidP="004F18A0">
      <w:pPr>
        <w:rPr>
          <w:rFonts w:ascii="Arial" w:hAnsi="Arial" w:cs="Arial"/>
        </w:rPr>
      </w:pPr>
    </w:p>
    <w:p w:rsidR="000A4587" w:rsidRPr="00FB0D51" w:rsidRDefault="000A4587" w:rsidP="004F18A0">
      <w:pPr>
        <w:rPr>
          <w:rFonts w:ascii="Arial" w:hAnsi="Arial" w:cs="Arial"/>
        </w:rPr>
      </w:pPr>
      <w:r>
        <w:rPr>
          <w:rFonts w:ascii="Arial" w:hAnsi="Arial" w:cs="Arial"/>
        </w:rPr>
        <w:t>Deze visietekst kwam tot stand mede dank zij de gewaardeerde inzet van de beleidsdomeinove</w:t>
      </w:r>
      <w:r>
        <w:rPr>
          <w:rFonts w:ascii="Arial" w:hAnsi="Arial" w:cs="Arial"/>
        </w:rPr>
        <w:t>r</w:t>
      </w:r>
      <w:r>
        <w:rPr>
          <w:rFonts w:ascii="Arial" w:hAnsi="Arial" w:cs="Arial"/>
        </w:rPr>
        <w:t>schrijdende werkgroep o.l.v. Wim Verheyen.</w:t>
      </w:r>
    </w:p>
    <w:p w:rsidR="000A4587" w:rsidRPr="00FB0D51" w:rsidRDefault="000A4587" w:rsidP="004F18A0">
      <w:pPr>
        <w:rPr>
          <w:rFonts w:ascii="Arial" w:hAnsi="Arial" w:cs="Arial"/>
        </w:rPr>
      </w:pPr>
    </w:p>
    <w:p w:rsidR="000A4587" w:rsidRPr="00FB0D51" w:rsidRDefault="000A4587" w:rsidP="00FB0D51">
      <w:pPr>
        <w:spacing w:after="200" w:line="276" w:lineRule="auto"/>
        <w:jc w:val="center"/>
        <w:rPr>
          <w:rFonts w:ascii="Calibri" w:hAnsi="Calibri"/>
          <w:sz w:val="60"/>
          <w:szCs w:val="60"/>
          <w:lang w:val="nl-BE" w:eastAsia="en-US"/>
        </w:rPr>
      </w:pPr>
      <w:r w:rsidRPr="00FB0D51">
        <w:rPr>
          <w:rFonts w:ascii="Calibri" w:hAnsi="Calibri"/>
          <w:sz w:val="60"/>
          <w:szCs w:val="60"/>
          <w:lang w:val="nl-BE" w:eastAsia="en-US"/>
        </w:rPr>
        <w:t>Visietekst mobiliteit</w:t>
      </w:r>
    </w:p>
    <w:p w:rsidR="000A4587" w:rsidRPr="00FB0D51" w:rsidRDefault="000A4587" w:rsidP="00FB0D51">
      <w:pPr>
        <w:spacing w:after="200" w:line="276" w:lineRule="auto"/>
        <w:rPr>
          <w:rFonts w:ascii="Calibri" w:hAnsi="Calibri"/>
          <w:b/>
          <w:lang w:val="nl-BE" w:eastAsia="en-US"/>
        </w:rPr>
      </w:pPr>
      <w:r w:rsidRPr="00FB0D51">
        <w:rPr>
          <w:rFonts w:ascii="Calibri" w:hAnsi="Calibri"/>
          <w:b/>
          <w:lang w:val="nl-BE" w:eastAsia="en-US"/>
        </w:rPr>
        <w:t>Waarom willen we de mobiliteit van de huidige en de toekomstige personeelsleden van de Vlaamse overheid versterken?</w:t>
      </w:r>
    </w:p>
    <w:p w:rsidR="000A4587" w:rsidRDefault="000A4587" w:rsidP="00FB0D51">
      <w:pPr>
        <w:spacing w:after="200" w:line="276" w:lineRule="auto"/>
        <w:rPr>
          <w:rFonts w:ascii="Calibri" w:hAnsi="Calibri"/>
          <w:lang w:val="nl-BE" w:eastAsia="en-US"/>
        </w:rPr>
      </w:pPr>
      <w:r w:rsidRPr="00FB0D51">
        <w:rPr>
          <w:rFonts w:ascii="Calibri" w:hAnsi="Calibri"/>
          <w:lang w:val="nl-BE" w:eastAsia="en-US"/>
        </w:rPr>
        <w:t>Zowel uit de personeelsresultatenonderzoeken als uit een studie van het SBOV blijkt dat de personeelsl</w:t>
      </w:r>
      <w:r w:rsidRPr="00FB0D51">
        <w:rPr>
          <w:rFonts w:ascii="Calibri" w:hAnsi="Calibri"/>
          <w:lang w:val="nl-BE" w:eastAsia="en-US"/>
        </w:rPr>
        <w:t>e</w:t>
      </w:r>
      <w:r w:rsidRPr="00FB0D51">
        <w:rPr>
          <w:rFonts w:ascii="Calibri" w:hAnsi="Calibri"/>
          <w:lang w:val="nl-BE" w:eastAsia="en-US"/>
        </w:rPr>
        <w:t>den van de Vlaamse overheid meer mogelijkheden om van functie te veranderen vragen. Ze ervaren n</w:t>
      </w:r>
      <w:r w:rsidRPr="00FB0D51">
        <w:rPr>
          <w:rFonts w:ascii="Calibri" w:hAnsi="Calibri"/>
          <w:lang w:val="nl-BE" w:eastAsia="en-US"/>
        </w:rPr>
        <w:t>a</w:t>
      </w:r>
      <w:r w:rsidRPr="00FB0D51">
        <w:rPr>
          <w:rFonts w:ascii="Calibri" w:hAnsi="Calibri"/>
          <w:lang w:val="nl-BE" w:eastAsia="en-US"/>
        </w:rPr>
        <w:t>melijk een enorm gebrek aan opportuniteiten op dit vlak. Zeven op de tien personeelsleden van de Vlaamse ove</w:t>
      </w:r>
      <w:r w:rsidRPr="00FB0D51">
        <w:rPr>
          <w:rFonts w:ascii="Calibri" w:hAnsi="Calibri"/>
          <w:lang w:val="nl-BE" w:eastAsia="en-US"/>
        </w:rPr>
        <w:t>r</w:t>
      </w:r>
      <w:r w:rsidRPr="00FB0D51">
        <w:rPr>
          <w:rFonts w:ascii="Calibri" w:hAnsi="Calibri"/>
          <w:lang w:val="nl-BE" w:eastAsia="en-US"/>
        </w:rPr>
        <w:t>heid heeft binnen die overheid nog maar 1 job uitgeoefend, bijna 9 op 10 van onze personeelsl</w:t>
      </w:r>
      <w:r w:rsidRPr="00FB0D51">
        <w:rPr>
          <w:rFonts w:ascii="Calibri" w:hAnsi="Calibri"/>
          <w:lang w:val="nl-BE" w:eastAsia="en-US"/>
        </w:rPr>
        <w:t>e</w:t>
      </w:r>
      <w:r w:rsidRPr="00FB0D51">
        <w:rPr>
          <w:rFonts w:ascii="Calibri" w:hAnsi="Calibri"/>
          <w:lang w:val="nl-BE" w:eastAsia="en-US"/>
        </w:rPr>
        <w:t>den werken sinds BBB nog steeds voor d</w:t>
      </w:r>
      <w:r w:rsidRPr="00FB0D51">
        <w:rPr>
          <w:rFonts w:ascii="Calibri" w:hAnsi="Calibri"/>
          <w:lang w:val="nl-BE" w:eastAsia="en-US"/>
        </w:rPr>
        <w:t>e</w:t>
      </w:r>
      <w:r w:rsidRPr="00FB0D51">
        <w:rPr>
          <w:rFonts w:ascii="Calibri" w:hAnsi="Calibri"/>
          <w:lang w:val="nl-BE" w:eastAsia="en-US"/>
        </w:rPr>
        <w:t>zelfde entiteit. Maar vooral, liefst 35% van onze personeelsleden wil in de loop van de volgende vijf jaar van job veranderen maar denkt dat dit niet mogelijk zal zijn. Voor bepaalde cat</w:t>
      </w:r>
      <w:r w:rsidRPr="00FB0D51">
        <w:rPr>
          <w:rFonts w:ascii="Calibri" w:hAnsi="Calibri"/>
          <w:lang w:val="nl-BE" w:eastAsia="en-US"/>
        </w:rPr>
        <w:t>e</w:t>
      </w:r>
      <w:r w:rsidRPr="00FB0D51">
        <w:rPr>
          <w:rFonts w:ascii="Calibri" w:hAnsi="Calibri"/>
          <w:lang w:val="nl-BE" w:eastAsia="en-US"/>
        </w:rPr>
        <w:t>gorieën personeelsleden (bijvoorbeeld vrouwen, hoger opgeleiden) is dit gemiddeld nog meer het geval. Zeker indien de overheid na 2014, wanneer de War 4 Talent pas echt zal losbarsten vo</w:t>
      </w:r>
      <w:r w:rsidRPr="00FB0D51">
        <w:rPr>
          <w:rFonts w:ascii="Calibri" w:hAnsi="Calibri"/>
          <w:lang w:val="nl-BE" w:eastAsia="en-US"/>
        </w:rPr>
        <w:t>l</w:t>
      </w:r>
      <w:r w:rsidRPr="00FB0D51">
        <w:rPr>
          <w:rFonts w:ascii="Calibri" w:hAnsi="Calibri"/>
          <w:lang w:val="nl-BE" w:eastAsia="en-US"/>
        </w:rPr>
        <w:t>doende competente, getalenteerde en gemotiveerde personeelsleden wil i</w:t>
      </w:r>
      <w:r w:rsidRPr="00FB0D51">
        <w:rPr>
          <w:rFonts w:ascii="Calibri" w:hAnsi="Calibri"/>
          <w:lang w:val="nl-BE" w:eastAsia="en-US"/>
        </w:rPr>
        <w:t>n</w:t>
      </w:r>
      <w:r w:rsidRPr="00FB0D51">
        <w:rPr>
          <w:rFonts w:ascii="Calibri" w:hAnsi="Calibri"/>
          <w:lang w:val="nl-BE" w:eastAsia="en-US"/>
        </w:rPr>
        <w:t>zetten zal ze verder moeten inzetten op de mobiliteit van die medewerkers (en die van de toekomstige personeelsleden), aangezien die mobiliteit kan bijdragen tot de ontwikkeling van competenties, het efficiënt inzetten van talenten en vooral ook het stimuleren en mot</w:t>
      </w:r>
      <w:r w:rsidRPr="00FB0D51">
        <w:rPr>
          <w:rFonts w:ascii="Calibri" w:hAnsi="Calibri"/>
          <w:lang w:val="nl-BE" w:eastAsia="en-US"/>
        </w:rPr>
        <w:t>i</w:t>
      </w:r>
      <w:r w:rsidRPr="00FB0D51">
        <w:rPr>
          <w:rFonts w:ascii="Calibri" w:hAnsi="Calibri"/>
          <w:lang w:val="nl-BE" w:eastAsia="en-US"/>
        </w:rPr>
        <w:t>veren van medewerkers. De jongere generaties op de arbeidsmarkt zullen dit overigens nog veel meer vragen.</w:t>
      </w:r>
      <w:r>
        <w:rPr>
          <w:rFonts w:ascii="Calibri" w:hAnsi="Calibri"/>
          <w:lang w:val="nl-BE" w:eastAsia="en-US"/>
        </w:rPr>
        <w:t xml:space="preserve"> </w:t>
      </w:r>
    </w:p>
    <w:p w:rsidR="000A4587" w:rsidRPr="00FB0D51" w:rsidRDefault="000A4587" w:rsidP="00FB0D51">
      <w:pPr>
        <w:spacing w:after="200" w:line="276" w:lineRule="auto"/>
        <w:rPr>
          <w:rFonts w:ascii="Calibri" w:hAnsi="Calibri"/>
          <w:lang w:val="nl-BE" w:eastAsia="en-US"/>
        </w:rPr>
      </w:pPr>
      <w:r>
        <w:rPr>
          <w:rFonts w:ascii="Calibri" w:hAnsi="Calibri"/>
          <w:lang w:val="nl-BE" w:eastAsia="en-US"/>
        </w:rPr>
        <w:t>Daarnaast -en minstens even belangrijk- heeft ook de Vlaamse overheid als werkgever bi</w:t>
      </w:r>
      <w:r>
        <w:rPr>
          <w:rFonts w:ascii="Calibri" w:hAnsi="Calibri"/>
          <w:lang w:val="nl-BE" w:eastAsia="en-US"/>
        </w:rPr>
        <w:t>n</w:t>
      </w:r>
      <w:r>
        <w:rPr>
          <w:rFonts w:ascii="Calibri" w:hAnsi="Calibri"/>
          <w:lang w:val="nl-BE" w:eastAsia="en-US"/>
        </w:rPr>
        <w:t>nen het streven naar efficiëntie en effectiviteit nood aan een mobiliteit van haar pers</w:t>
      </w:r>
      <w:r>
        <w:rPr>
          <w:rFonts w:ascii="Calibri" w:hAnsi="Calibri"/>
          <w:lang w:val="nl-BE" w:eastAsia="en-US"/>
        </w:rPr>
        <w:t>o</w:t>
      </w:r>
      <w:r>
        <w:rPr>
          <w:rFonts w:ascii="Calibri" w:hAnsi="Calibri"/>
          <w:lang w:val="nl-BE" w:eastAsia="en-US"/>
        </w:rPr>
        <w:t>neelsleden: als onderdeel van haar competentie- en talentmanagement, als middel om de juiste persoon op de juiste plaats te zetten om zo haar organisatorische behoeften te ku</w:t>
      </w:r>
      <w:r>
        <w:rPr>
          <w:rFonts w:ascii="Calibri" w:hAnsi="Calibri"/>
          <w:lang w:val="nl-BE" w:eastAsia="en-US"/>
        </w:rPr>
        <w:t>n</w:t>
      </w:r>
      <w:r>
        <w:rPr>
          <w:rFonts w:ascii="Calibri" w:hAnsi="Calibri"/>
          <w:lang w:val="nl-BE" w:eastAsia="en-US"/>
        </w:rPr>
        <w:t>nen voldoen en als middel om de personeelskosten te drukken.</w:t>
      </w:r>
    </w:p>
    <w:p w:rsidR="000A4587" w:rsidRPr="00FB0D51" w:rsidRDefault="000A4587" w:rsidP="00FB0D51">
      <w:pPr>
        <w:spacing w:after="200" w:line="276" w:lineRule="auto"/>
        <w:rPr>
          <w:rFonts w:ascii="Calibri" w:hAnsi="Calibri"/>
          <w:lang w:val="nl-BE" w:eastAsia="en-US"/>
        </w:rPr>
      </w:pPr>
      <w:r w:rsidRPr="00FB0D51">
        <w:rPr>
          <w:rFonts w:ascii="Calibri" w:hAnsi="Calibri"/>
          <w:lang w:val="nl-BE" w:eastAsia="en-US"/>
        </w:rPr>
        <w:t>Doelstelling 2 van het modern HR-beleid werd als volgt omschreven: “</w:t>
      </w:r>
      <w:r w:rsidRPr="00FB0D51">
        <w:rPr>
          <w:rFonts w:ascii="Calibri" w:hAnsi="Calibri"/>
          <w:i/>
          <w:lang w:val="nl-BE" w:eastAsia="en-US"/>
        </w:rPr>
        <w:t>We realiseren een grotere inzetbaa</w:t>
      </w:r>
      <w:r w:rsidRPr="00FB0D51">
        <w:rPr>
          <w:rFonts w:ascii="Calibri" w:hAnsi="Calibri"/>
          <w:i/>
          <w:lang w:val="nl-BE" w:eastAsia="en-US"/>
        </w:rPr>
        <w:t>r</w:t>
      </w:r>
      <w:r w:rsidRPr="00FB0D51">
        <w:rPr>
          <w:rFonts w:ascii="Calibri" w:hAnsi="Calibri"/>
          <w:i/>
          <w:lang w:val="nl-BE" w:eastAsia="en-US"/>
        </w:rPr>
        <w:t>heid van alle medewerkers zowel binnen de entiteit, de Vlaamse overheid als over de bestuurslagen heen en tussen de openbare en private sector, en combineren hierbij een voortdurende ontwikkeling van de med</w:t>
      </w:r>
      <w:r w:rsidRPr="00FB0D51">
        <w:rPr>
          <w:rFonts w:ascii="Calibri" w:hAnsi="Calibri"/>
          <w:i/>
          <w:lang w:val="nl-BE" w:eastAsia="en-US"/>
        </w:rPr>
        <w:t>e</w:t>
      </w:r>
      <w:r w:rsidRPr="00FB0D51">
        <w:rPr>
          <w:rFonts w:ascii="Calibri" w:hAnsi="Calibri"/>
          <w:i/>
          <w:lang w:val="nl-BE" w:eastAsia="en-US"/>
        </w:rPr>
        <w:t>werker met een toegevoegde waarde voor de organisatie</w:t>
      </w:r>
      <w:r w:rsidRPr="00FB0D51">
        <w:rPr>
          <w:rFonts w:ascii="Calibri" w:hAnsi="Calibri"/>
          <w:lang w:val="nl-BE" w:eastAsia="en-US"/>
        </w:rPr>
        <w:t>.”</w:t>
      </w:r>
    </w:p>
    <w:p w:rsidR="000A4587" w:rsidRPr="00FB0D51" w:rsidRDefault="000A4587" w:rsidP="00FB0D51">
      <w:pPr>
        <w:numPr>
          <w:ilvl w:val="0"/>
          <w:numId w:val="20"/>
        </w:numPr>
        <w:spacing w:after="200" w:line="276" w:lineRule="auto"/>
        <w:contextualSpacing/>
        <w:rPr>
          <w:rFonts w:ascii="Calibri" w:hAnsi="Calibri"/>
          <w:lang w:val="nl-BE" w:eastAsia="en-US"/>
        </w:rPr>
      </w:pPr>
      <w:r w:rsidRPr="00FB0D51">
        <w:rPr>
          <w:rFonts w:ascii="Calibri" w:hAnsi="Calibri"/>
          <w:b/>
          <w:lang w:val="nl-BE" w:eastAsia="en-US"/>
        </w:rPr>
        <w:t>Vergroten inzetbaarheid</w:t>
      </w:r>
      <w:r w:rsidRPr="00FB0D51">
        <w:rPr>
          <w:rFonts w:ascii="Calibri" w:hAnsi="Calibri"/>
          <w:lang w:val="nl-BE" w:eastAsia="en-US"/>
        </w:rPr>
        <w:t>: werkzekerheid, geen functiezekerheid. Een adequate mobil</w:t>
      </w:r>
      <w:r w:rsidRPr="00FB0D51">
        <w:rPr>
          <w:rFonts w:ascii="Calibri" w:hAnsi="Calibri"/>
          <w:lang w:val="nl-BE" w:eastAsia="en-US"/>
        </w:rPr>
        <w:t>i</w:t>
      </w:r>
      <w:r w:rsidRPr="00FB0D51">
        <w:rPr>
          <w:rFonts w:ascii="Calibri" w:hAnsi="Calibri"/>
          <w:lang w:val="nl-BE" w:eastAsia="en-US"/>
        </w:rPr>
        <w:t>teit dient met andere woorden ook bij te dragen tot het opnieuw inzetten van personeelsleden wiens job uitgedoofd is.</w:t>
      </w:r>
      <w:r>
        <w:rPr>
          <w:rFonts w:ascii="Calibri" w:hAnsi="Calibri"/>
          <w:lang w:val="nl-BE" w:eastAsia="en-US"/>
        </w:rPr>
        <w:t xml:space="preserve"> Het vormt een uitdaging om op deze manier de personeelskosten van een entiteit te verminderen zo</w:t>
      </w:r>
      <w:r>
        <w:rPr>
          <w:rFonts w:ascii="Calibri" w:hAnsi="Calibri"/>
          <w:lang w:val="nl-BE" w:eastAsia="en-US"/>
        </w:rPr>
        <w:t>n</w:t>
      </w:r>
      <w:r>
        <w:rPr>
          <w:rFonts w:ascii="Calibri" w:hAnsi="Calibri"/>
          <w:lang w:val="nl-BE" w:eastAsia="en-US"/>
        </w:rPr>
        <w:t xml:space="preserve">der in de dienstverlening te snoeien. </w:t>
      </w:r>
    </w:p>
    <w:p w:rsidR="000A4587" w:rsidRPr="00FB0D51" w:rsidRDefault="000A4587" w:rsidP="00FB0D51">
      <w:pPr>
        <w:numPr>
          <w:ilvl w:val="0"/>
          <w:numId w:val="20"/>
        </w:numPr>
        <w:spacing w:after="200" w:line="276" w:lineRule="auto"/>
        <w:contextualSpacing/>
        <w:rPr>
          <w:rFonts w:ascii="Calibri" w:hAnsi="Calibri"/>
          <w:lang w:val="nl-BE" w:eastAsia="en-US"/>
        </w:rPr>
      </w:pPr>
      <w:r w:rsidRPr="00FB0D51">
        <w:rPr>
          <w:rFonts w:ascii="Calibri" w:hAnsi="Calibri"/>
          <w:b/>
          <w:lang w:val="nl-BE" w:eastAsia="en-US"/>
        </w:rPr>
        <w:t>Voortdurende ontwikkeling</w:t>
      </w:r>
      <w:r w:rsidRPr="00FB0D51">
        <w:rPr>
          <w:rFonts w:ascii="Calibri" w:hAnsi="Calibri"/>
          <w:lang w:val="nl-BE" w:eastAsia="en-US"/>
        </w:rPr>
        <w:t xml:space="preserve"> </w:t>
      </w:r>
      <w:r w:rsidRPr="00FB0D51">
        <w:rPr>
          <w:rFonts w:ascii="Calibri" w:hAnsi="Calibri"/>
          <w:b/>
          <w:lang w:val="nl-BE" w:eastAsia="en-US"/>
        </w:rPr>
        <w:t>van de medewerker</w:t>
      </w:r>
      <w:r w:rsidRPr="00FB0D51">
        <w:rPr>
          <w:rFonts w:ascii="Calibri" w:hAnsi="Calibri"/>
          <w:lang w:val="nl-BE" w:eastAsia="en-US"/>
        </w:rPr>
        <w:t>: mobiliteit heeft een cruciale bijdrage aan de on</w:t>
      </w:r>
      <w:r w:rsidRPr="00FB0D51">
        <w:rPr>
          <w:rFonts w:ascii="Calibri" w:hAnsi="Calibri"/>
          <w:lang w:val="nl-BE" w:eastAsia="en-US"/>
        </w:rPr>
        <w:t>t</w:t>
      </w:r>
      <w:r w:rsidRPr="00FB0D51">
        <w:rPr>
          <w:rFonts w:ascii="Calibri" w:hAnsi="Calibri"/>
          <w:lang w:val="nl-BE" w:eastAsia="en-US"/>
        </w:rPr>
        <w:t>wikkeling van de (competenties van de) medewerkers en daardoor ook aan de innoverende kracht van organisaties.</w:t>
      </w:r>
    </w:p>
    <w:p w:rsidR="000A4587" w:rsidRPr="00FB0D51" w:rsidRDefault="000A4587" w:rsidP="00FB0D51">
      <w:pPr>
        <w:numPr>
          <w:ilvl w:val="0"/>
          <w:numId w:val="20"/>
        </w:numPr>
        <w:spacing w:after="200" w:line="276" w:lineRule="auto"/>
        <w:contextualSpacing/>
        <w:rPr>
          <w:rFonts w:ascii="Calibri" w:hAnsi="Calibri"/>
          <w:lang w:val="nl-BE" w:eastAsia="en-US"/>
        </w:rPr>
      </w:pPr>
      <w:r w:rsidRPr="00FB0D51">
        <w:rPr>
          <w:rFonts w:ascii="Calibri" w:hAnsi="Calibri"/>
          <w:b/>
          <w:lang w:val="nl-BE" w:eastAsia="en-US"/>
        </w:rPr>
        <w:t>Toegevoegde waarde voor de organisatie</w:t>
      </w:r>
      <w:r w:rsidRPr="00FB0D51">
        <w:rPr>
          <w:rFonts w:ascii="Calibri" w:hAnsi="Calibri"/>
          <w:lang w:val="nl-BE" w:eastAsia="en-US"/>
        </w:rPr>
        <w:t>: zowel medewerkers als de organisatie onde</w:t>
      </w:r>
      <w:r w:rsidRPr="00FB0D51">
        <w:rPr>
          <w:rFonts w:ascii="Calibri" w:hAnsi="Calibri"/>
          <w:lang w:val="nl-BE" w:eastAsia="en-US"/>
        </w:rPr>
        <w:t>r</w:t>
      </w:r>
      <w:r w:rsidRPr="00FB0D51">
        <w:rPr>
          <w:rFonts w:ascii="Calibri" w:hAnsi="Calibri"/>
          <w:lang w:val="nl-BE" w:eastAsia="en-US"/>
        </w:rPr>
        <w:t>vinden een meerwaarde. Medewerkers, net als hun competenties en talenten, zijn beter en efficiënter inzetbaar en dragen meer bij aan de maatschappelijke innovatie van de o</w:t>
      </w:r>
      <w:r w:rsidRPr="00FB0D51">
        <w:rPr>
          <w:rFonts w:ascii="Calibri" w:hAnsi="Calibri"/>
          <w:lang w:val="nl-BE" w:eastAsia="en-US"/>
        </w:rPr>
        <w:t>r</w:t>
      </w:r>
      <w:r w:rsidRPr="00FB0D51">
        <w:rPr>
          <w:rFonts w:ascii="Calibri" w:hAnsi="Calibri"/>
          <w:lang w:val="nl-BE" w:eastAsia="en-US"/>
        </w:rPr>
        <w:t>ganisatie.</w:t>
      </w:r>
    </w:p>
    <w:p w:rsidR="000A4587" w:rsidRDefault="000A4587" w:rsidP="00FB0D51">
      <w:pPr>
        <w:spacing w:after="200" w:line="276" w:lineRule="auto"/>
        <w:rPr>
          <w:rFonts w:ascii="Calibri" w:hAnsi="Calibri"/>
          <w:lang w:val="nl-BE" w:eastAsia="en-US"/>
        </w:rPr>
      </w:pPr>
    </w:p>
    <w:p w:rsidR="000A4587" w:rsidRDefault="000A4587" w:rsidP="00FB0D51">
      <w:pPr>
        <w:spacing w:after="200" w:line="276" w:lineRule="auto"/>
        <w:rPr>
          <w:rFonts w:ascii="Calibri" w:hAnsi="Calibri"/>
          <w:lang w:val="nl-BE" w:eastAsia="en-US"/>
        </w:rPr>
      </w:pPr>
      <w:r w:rsidRPr="00FB0D51">
        <w:rPr>
          <w:rFonts w:ascii="Calibri" w:hAnsi="Calibri"/>
          <w:lang w:val="nl-BE" w:eastAsia="en-US"/>
        </w:rPr>
        <w:t>Wanneer de Vlaamse overheid er in slaagt de mobiliteit van haar huidige en toekomstige personeelsleden te versterken zal dit met andere woorden bijdragen tot een meer wendbare, ondernemende en daadkrac</w:t>
      </w:r>
      <w:r w:rsidRPr="00FB0D51">
        <w:rPr>
          <w:rFonts w:ascii="Calibri" w:hAnsi="Calibri"/>
          <w:lang w:val="nl-BE" w:eastAsia="en-US"/>
        </w:rPr>
        <w:t>h</w:t>
      </w:r>
      <w:r w:rsidRPr="00FB0D51">
        <w:rPr>
          <w:rFonts w:ascii="Calibri" w:hAnsi="Calibri"/>
          <w:lang w:val="nl-BE" w:eastAsia="en-US"/>
        </w:rPr>
        <w:t>tige overheid, die vertrouwen en openheid uitstraalt zoals gedefinieerd in de gewenste cultuur 2020.</w:t>
      </w:r>
    </w:p>
    <w:p w:rsidR="000A4587" w:rsidRPr="00FB0D51" w:rsidRDefault="000A4587" w:rsidP="00FB0D51">
      <w:pPr>
        <w:spacing w:after="200" w:line="276" w:lineRule="auto"/>
        <w:rPr>
          <w:rFonts w:ascii="Calibri" w:hAnsi="Calibri"/>
          <w:lang w:val="nl-BE" w:eastAsia="en-US"/>
        </w:rPr>
      </w:pPr>
    </w:p>
    <w:p w:rsidR="000A4587" w:rsidRPr="00FB0D51" w:rsidRDefault="000A4587" w:rsidP="00FB0D51">
      <w:pPr>
        <w:spacing w:after="200" w:line="276" w:lineRule="auto"/>
        <w:rPr>
          <w:rFonts w:ascii="Calibri" w:hAnsi="Calibri"/>
          <w:b/>
          <w:lang w:val="nl-BE" w:eastAsia="en-US"/>
        </w:rPr>
      </w:pPr>
      <w:r w:rsidRPr="00FB0D51">
        <w:rPr>
          <w:rFonts w:ascii="Calibri" w:hAnsi="Calibri"/>
          <w:b/>
          <w:lang w:val="nl-BE" w:eastAsia="en-US"/>
        </w:rPr>
        <w:t>Hoe definiëren we mobiliteit voor de huidige en de toekomstige personeelsleden van de Vlaamse overheid?</w:t>
      </w:r>
    </w:p>
    <w:p w:rsidR="000A4587" w:rsidRPr="00FB0D51" w:rsidRDefault="000A4587" w:rsidP="00FB0D51">
      <w:pPr>
        <w:spacing w:after="200" w:line="276" w:lineRule="auto"/>
        <w:rPr>
          <w:rFonts w:ascii="Calibri" w:hAnsi="Calibri"/>
          <w:i/>
          <w:lang w:val="nl-BE" w:eastAsia="en-US"/>
        </w:rPr>
      </w:pPr>
      <w:r w:rsidRPr="00FB0D51">
        <w:rPr>
          <w:rFonts w:ascii="Calibri" w:hAnsi="Calibri"/>
          <w:i/>
          <w:lang w:val="nl-BE" w:eastAsia="en-US"/>
        </w:rPr>
        <w:t>Iets anders of ergens anders</w:t>
      </w:r>
    </w:p>
    <w:p w:rsidR="000A4587" w:rsidRPr="00FB0D51" w:rsidRDefault="000A4587" w:rsidP="00FB0D51">
      <w:pPr>
        <w:numPr>
          <w:ilvl w:val="0"/>
          <w:numId w:val="19"/>
        </w:numPr>
        <w:spacing w:after="200" w:line="276" w:lineRule="auto"/>
        <w:contextualSpacing/>
        <w:rPr>
          <w:rFonts w:ascii="Calibri" w:hAnsi="Calibri"/>
          <w:lang w:val="nl-BE" w:eastAsia="en-US"/>
        </w:rPr>
      </w:pPr>
      <w:r w:rsidRPr="00FB0D51">
        <w:rPr>
          <w:rFonts w:ascii="Calibri" w:hAnsi="Calibri"/>
          <w:b/>
          <w:lang w:val="nl-BE" w:eastAsia="en-US"/>
        </w:rPr>
        <w:t>Iets anders</w:t>
      </w:r>
      <w:r w:rsidRPr="00FB0D51">
        <w:rPr>
          <w:rFonts w:ascii="Calibri" w:hAnsi="Calibri"/>
          <w:lang w:val="nl-BE" w:eastAsia="en-US"/>
        </w:rPr>
        <w:t>: om het even welke vorm van functiewijziging kan beschouwd worden als mobiliteit. Dit b</w:t>
      </w:r>
      <w:r w:rsidRPr="00FB0D51">
        <w:rPr>
          <w:rFonts w:ascii="Calibri" w:hAnsi="Calibri"/>
          <w:lang w:val="nl-BE" w:eastAsia="en-US"/>
        </w:rPr>
        <w:t>e</w:t>
      </w:r>
      <w:r w:rsidRPr="00FB0D51">
        <w:rPr>
          <w:rFonts w:ascii="Calibri" w:hAnsi="Calibri"/>
          <w:lang w:val="nl-BE" w:eastAsia="en-US"/>
        </w:rPr>
        <w:t>tekent dat ook job verruiming, job crafting of job sculpting mee in de scope opgenomen worden.</w:t>
      </w:r>
    </w:p>
    <w:p w:rsidR="000A4587" w:rsidRPr="00FB0D51" w:rsidRDefault="000A4587" w:rsidP="00FB0D51">
      <w:pPr>
        <w:numPr>
          <w:ilvl w:val="0"/>
          <w:numId w:val="19"/>
        </w:numPr>
        <w:spacing w:after="200" w:line="276" w:lineRule="auto"/>
        <w:contextualSpacing/>
        <w:rPr>
          <w:rFonts w:ascii="Calibri" w:hAnsi="Calibri"/>
          <w:lang w:val="nl-BE" w:eastAsia="en-US"/>
        </w:rPr>
      </w:pPr>
      <w:r w:rsidRPr="00FB0D51">
        <w:rPr>
          <w:rFonts w:ascii="Calibri" w:hAnsi="Calibri"/>
          <w:b/>
          <w:lang w:val="nl-BE" w:eastAsia="en-US"/>
        </w:rPr>
        <w:t>Ergens anders</w:t>
      </w:r>
      <w:r w:rsidRPr="00FB0D51">
        <w:rPr>
          <w:rFonts w:ascii="Calibri" w:hAnsi="Calibri"/>
          <w:lang w:val="nl-BE" w:eastAsia="en-US"/>
        </w:rPr>
        <w:t>: kan betekenen, in een andere organisatie, publiek of privaat, een andere overheid, maar evengoed binnen dezelfde organisatie maar op een “fysiek andere loc</w:t>
      </w:r>
      <w:r w:rsidRPr="00FB0D51">
        <w:rPr>
          <w:rFonts w:ascii="Calibri" w:hAnsi="Calibri"/>
          <w:lang w:val="nl-BE" w:eastAsia="en-US"/>
        </w:rPr>
        <w:t>a</w:t>
      </w:r>
      <w:r w:rsidRPr="00FB0D51">
        <w:rPr>
          <w:rFonts w:ascii="Calibri" w:hAnsi="Calibri"/>
          <w:lang w:val="nl-BE" w:eastAsia="en-US"/>
        </w:rPr>
        <w:t>tie”.</w:t>
      </w:r>
    </w:p>
    <w:p w:rsidR="000A4587" w:rsidRPr="00FB0D51" w:rsidRDefault="000A4587" w:rsidP="00FB0D51">
      <w:pPr>
        <w:numPr>
          <w:ilvl w:val="0"/>
          <w:numId w:val="19"/>
        </w:numPr>
        <w:spacing w:after="200" w:line="276" w:lineRule="auto"/>
        <w:contextualSpacing/>
        <w:rPr>
          <w:rFonts w:ascii="Calibri" w:hAnsi="Calibri"/>
          <w:lang w:val="nl-BE" w:eastAsia="en-US"/>
        </w:rPr>
      </w:pPr>
      <w:r w:rsidRPr="00FB0D51">
        <w:rPr>
          <w:rFonts w:ascii="Calibri" w:hAnsi="Calibri"/>
          <w:b/>
          <w:lang w:val="nl-BE" w:eastAsia="en-US"/>
        </w:rPr>
        <w:t>Permanent, maar ook tijdelijk:</w:t>
      </w:r>
      <w:r w:rsidRPr="00FB0D51">
        <w:rPr>
          <w:rFonts w:ascii="Calibri" w:hAnsi="Calibri"/>
          <w:lang w:val="nl-BE" w:eastAsia="en-US"/>
        </w:rPr>
        <w:t xml:space="preserve"> alle vormen van tijdelijke mobiliteit zijn belangrijk. Medewerkers kri</w:t>
      </w:r>
      <w:r w:rsidRPr="00FB0D51">
        <w:rPr>
          <w:rFonts w:ascii="Calibri" w:hAnsi="Calibri"/>
          <w:lang w:val="nl-BE" w:eastAsia="en-US"/>
        </w:rPr>
        <w:t>j</w:t>
      </w:r>
      <w:r w:rsidRPr="00FB0D51">
        <w:rPr>
          <w:rFonts w:ascii="Calibri" w:hAnsi="Calibri"/>
          <w:lang w:val="nl-BE" w:eastAsia="en-US"/>
        </w:rPr>
        <w:t>gen de kans om zichzelf te ontwikkelen, organisaties om het ontbrekende puzzelstuk in te vullen. Pr</w:t>
      </w:r>
      <w:r w:rsidRPr="00FB0D51">
        <w:rPr>
          <w:rFonts w:ascii="Calibri" w:hAnsi="Calibri"/>
          <w:lang w:val="nl-BE" w:eastAsia="en-US"/>
        </w:rPr>
        <w:t>o</w:t>
      </w:r>
      <w:r w:rsidRPr="00FB0D51">
        <w:rPr>
          <w:rFonts w:ascii="Calibri" w:hAnsi="Calibri"/>
          <w:lang w:val="nl-BE" w:eastAsia="en-US"/>
        </w:rPr>
        <w:t>jectwerking en netwerking worden meer en meer toonaangevend en tijdelijk mobiliteit is een uitsteke</w:t>
      </w:r>
      <w:r w:rsidRPr="00FB0D51">
        <w:rPr>
          <w:rFonts w:ascii="Calibri" w:hAnsi="Calibri"/>
          <w:lang w:val="nl-BE" w:eastAsia="en-US"/>
        </w:rPr>
        <w:t>n</w:t>
      </w:r>
      <w:r w:rsidRPr="00FB0D51">
        <w:rPr>
          <w:rFonts w:ascii="Calibri" w:hAnsi="Calibri"/>
          <w:lang w:val="nl-BE" w:eastAsia="en-US"/>
        </w:rPr>
        <w:t>de motor voor beiden.</w:t>
      </w:r>
      <w:r>
        <w:rPr>
          <w:rFonts w:ascii="Calibri" w:hAnsi="Calibri"/>
          <w:lang w:val="nl-BE" w:eastAsia="en-US"/>
        </w:rPr>
        <w:t xml:space="preserve"> Het 70-20-10 model kan hierbij als inspiratie dienen voor entiteiten die de on</w:t>
      </w:r>
      <w:r>
        <w:rPr>
          <w:rFonts w:ascii="Calibri" w:hAnsi="Calibri"/>
          <w:lang w:val="nl-BE" w:eastAsia="en-US"/>
        </w:rPr>
        <w:t>t</w:t>
      </w:r>
      <w:r>
        <w:rPr>
          <w:rFonts w:ascii="Calibri" w:hAnsi="Calibri"/>
          <w:lang w:val="nl-BE" w:eastAsia="en-US"/>
        </w:rPr>
        <w:t>wikkeling van het individu en de organisatie willen stimuleren door middel van tijdelijke mobiliteit.</w:t>
      </w:r>
      <w:r w:rsidRPr="00FB0D51">
        <w:rPr>
          <w:rFonts w:ascii="Calibri" w:hAnsi="Calibri"/>
          <w:lang w:val="nl-BE" w:eastAsia="en-US"/>
        </w:rPr>
        <w:t xml:space="preserve"> </w:t>
      </w:r>
      <w:r>
        <w:rPr>
          <w:rFonts w:ascii="Calibri" w:hAnsi="Calibri"/>
          <w:lang w:val="nl-BE" w:eastAsia="en-US"/>
        </w:rPr>
        <w:t xml:space="preserve">De entiteiten van de Vlaamse overheid dienen met andere woorden te onderzoeken hoe (en voor welke personeelscategorieën) dit </w:t>
      </w:r>
      <w:r w:rsidRPr="00FB0D51">
        <w:rPr>
          <w:rFonts w:ascii="Calibri" w:hAnsi="Calibri"/>
          <w:lang w:val="nl-BE" w:eastAsia="en-US"/>
        </w:rPr>
        <w:t xml:space="preserve">model </w:t>
      </w:r>
      <w:r>
        <w:rPr>
          <w:rFonts w:ascii="Calibri" w:hAnsi="Calibri"/>
          <w:lang w:val="nl-BE" w:eastAsia="en-US"/>
        </w:rPr>
        <w:t>zinvol kan toegepast worden</w:t>
      </w:r>
      <w:r w:rsidRPr="00FB0D51">
        <w:rPr>
          <w:rFonts w:ascii="Calibri" w:hAnsi="Calibri"/>
          <w:lang w:val="nl-BE" w:eastAsia="en-US"/>
        </w:rPr>
        <w:t>.</w:t>
      </w:r>
      <w:r w:rsidRPr="00FB0D51">
        <w:rPr>
          <w:rFonts w:ascii="Calibri" w:hAnsi="Calibri"/>
          <w:vertAlign w:val="superscript"/>
          <w:lang w:val="nl-BE" w:eastAsia="en-US"/>
        </w:rPr>
        <w:footnoteReference w:id="1"/>
      </w:r>
      <w:r>
        <w:rPr>
          <w:rFonts w:ascii="Calibri" w:hAnsi="Calibri"/>
          <w:lang w:val="nl-BE" w:eastAsia="en-US"/>
        </w:rPr>
        <w:t xml:space="preserve"> </w:t>
      </w:r>
    </w:p>
    <w:p w:rsidR="000A4587" w:rsidRDefault="000A4587" w:rsidP="00FB0D51">
      <w:pPr>
        <w:numPr>
          <w:ilvl w:val="0"/>
          <w:numId w:val="19"/>
        </w:numPr>
        <w:spacing w:after="200" w:line="276" w:lineRule="auto"/>
        <w:contextualSpacing/>
        <w:rPr>
          <w:rFonts w:ascii="Calibri" w:hAnsi="Calibri"/>
          <w:lang w:val="nl-BE" w:eastAsia="en-US"/>
        </w:rPr>
      </w:pPr>
      <w:r w:rsidRPr="00FB0D51">
        <w:rPr>
          <w:rFonts w:ascii="Calibri" w:hAnsi="Calibri"/>
          <w:b/>
          <w:lang w:val="nl-BE" w:eastAsia="en-US"/>
        </w:rPr>
        <w:t>Horizontale, verticale (opwaarts en neerwaarts) en diagonale loopbaantransities:</w:t>
      </w:r>
      <w:r w:rsidRPr="00FB0D51">
        <w:rPr>
          <w:rFonts w:ascii="Calibri" w:hAnsi="Calibri"/>
          <w:lang w:val="nl-BE" w:eastAsia="en-US"/>
        </w:rPr>
        <w:t xml:space="preserve"> het huidige loo</w:t>
      </w:r>
      <w:r w:rsidRPr="00FB0D51">
        <w:rPr>
          <w:rFonts w:ascii="Calibri" w:hAnsi="Calibri"/>
          <w:lang w:val="nl-BE" w:eastAsia="en-US"/>
        </w:rPr>
        <w:t>p</w:t>
      </w:r>
      <w:r w:rsidRPr="00FB0D51">
        <w:rPr>
          <w:rFonts w:ascii="Calibri" w:hAnsi="Calibri"/>
          <w:lang w:val="nl-BE" w:eastAsia="en-US"/>
        </w:rPr>
        <w:t xml:space="preserve">baanbeleid van de Vlaamse overheid is sterk gefocust op verticale (in opwaartse zin) loopbaantransities. </w:t>
      </w:r>
    </w:p>
    <w:p w:rsidR="000A4587" w:rsidRDefault="000A4587" w:rsidP="00FB0D51">
      <w:pPr>
        <w:spacing w:after="200" w:line="276" w:lineRule="auto"/>
        <w:rPr>
          <w:rFonts w:ascii="Calibri" w:hAnsi="Calibri"/>
          <w:lang w:val="nl-BE" w:eastAsia="en-US"/>
        </w:rPr>
      </w:pPr>
    </w:p>
    <w:p w:rsidR="000A4587" w:rsidRDefault="000A4587" w:rsidP="00FB0D51">
      <w:pPr>
        <w:spacing w:after="200" w:line="276" w:lineRule="auto"/>
        <w:rPr>
          <w:rFonts w:ascii="Calibri" w:hAnsi="Calibri"/>
          <w:lang w:val="nl-BE" w:eastAsia="en-US"/>
        </w:rPr>
      </w:pPr>
      <w:r>
        <w:rPr>
          <w:rFonts w:ascii="Calibri" w:hAnsi="Calibri"/>
          <w:lang w:val="nl-BE" w:eastAsia="en-US"/>
        </w:rPr>
        <w:t>Het gaat dus om een positieve benadering, waarbij leidinggevenden en personeelsleden het “iets anders of ergens anders” aanwenden i.f.v. groei van het individu én de organisatie.</w:t>
      </w:r>
    </w:p>
    <w:p w:rsidR="000A4587" w:rsidRPr="00A92923" w:rsidRDefault="000A4587" w:rsidP="00FB0D51">
      <w:pPr>
        <w:spacing w:after="200" w:line="276" w:lineRule="auto"/>
        <w:rPr>
          <w:rFonts w:ascii="Calibri" w:hAnsi="Calibri"/>
          <w:lang w:val="nl-BE" w:eastAsia="en-US"/>
        </w:rPr>
      </w:pPr>
    </w:p>
    <w:p w:rsidR="000A4587" w:rsidRPr="00FB0D51" w:rsidRDefault="000A4587" w:rsidP="00FB0D51">
      <w:pPr>
        <w:spacing w:after="200" w:line="276" w:lineRule="auto"/>
        <w:rPr>
          <w:rFonts w:ascii="Calibri" w:hAnsi="Calibri"/>
          <w:b/>
          <w:lang w:val="nl-BE" w:eastAsia="en-US"/>
        </w:rPr>
      </w:pPr>
      <w:r w:rsidRPr="00FB0D51">
        <w:rPr>
          <w:rFonts w:ascii="Calibri" w:hAnsi="Calibri"/>
          <w:b/>
          <w:lang w:val="nl-BE" w:eastAsia="en-US"/>
        </w:rPr>
        <w:t>Hoe willen we in de praktijk een adequate mobiliteit voor de huidige en toekomstige personeelsleden van de Vlaamse overheid realiseren?</w:t>
      </w:r>
    </w:p>
    <w:p w:rsidR="000A4587" w:rsidRPr="00FB0D51" w:rsidRDefault="000A4587" w:rsidP="00FB0D51">
      <w:pPr>
        <w:spacing w:after="200" w:line="276" w:lineRule="auto"/>
        <w:rPr>
          <w:rFonts w:ascii="Calibri" w:hAnsi="Calibri"/>
          <w:lang w:val="nl-BE" w:eastAsia="en-US"/>
        </w:rPr>
      </w:pPr>
      <w:r w:rsidRPr="00FB0D51">
        <w:rPr>
          <w:rFonts w:ascii="Calibri" w:hAnsi="Calibri"/>
          <w:lang w:val="nl-BE" w:eastAsia="en-US"/>
        </w:rPr>
        <w:t>Een adequate mobiliteit kan niet zomaar gerealiseerd worden door het nemen van centrale initiatieven. Het spreekt voor zich dat iedere entiteit van de Vlaamse overheid zelf verantwoordelijk is voor het vertalen en in de praktijk brengen van deze algemene visie in het eigen (personeels)beleid</w:t>
      </w:r>
      <w:r>
        <w:rPr>
          <w:rFonts w:ascii="Calibri" w:hAnsi="Calibri"/>
          <w:lang w:val="nl-BE" w:eastAsia="en-US"/>
        </w:rPr>
        <w:t xml:space="preserve"> (zie ook in verband met tijdeli</w:t>
      </w:r>
      <w:r>
        <w:rPr>
          <w:rFonts w:ascii="Calibri" w:hAnsi="Calibri"/>
          <w:lang w:val="nl-BE" w:eastAsia="en-US"/>
        </w:rPr>
        <w:t>j</w:t>
      </w:r>
      <w:r>
        <w:rPr>
          <w:rFonts w:ascii="Calibri" w:hAnsi="Calibri"/>
          <w:lang w:val="nl-BE" w:eastAsia="en-US"/>
        </w:rPr>
        <w:t>ke mobiliteit)</w:t>
      </w:r>
      <w:r w:rsidRPr="00FB0D51">
        <w:rPr>
          <w:rFonts w:ascii="Calibri" w:hAnsi="Calibri"/>
          <w:lang w:val="nl-BE" w:eastAsia="en-US"/>
        </w:rPr>
        <w:t>. De belangrijkste bouwstenen om de mobiliteit binnen de Vlaamse overheid en over de b</w:t>
      </w:r>
      <w:r w:rsidRPr="00FB0D51">
        <w:rPr>
          <w:rFonts w:ascii="Calibri" w:hAnsi="Calibri"/>
          <w:lang w:val="nl-BE" w:eastAsia="en-US"/>
        </w:rPr>
        <w:t>e</w:t>
      </w:r>
      <w:r w:rsidRPr="00FB0D51">
        <w:rPr>
          <w:rFonts w:ascii="Calibri" w:hAnsi="Calibri"/>
          <w:lang w:val="nl-BE" w:eastAsia="en-US"/>
        </w:rPr>
        <w:t>stuurslagen heen te realiseren zijn de volgende:</w:t>
      </w:r>
    </w:p>
    <w:p w:rsidR="000A4587" w:rsidRPr="00FB0D51" w:rsidRDefault="000A4587" w:rsidP="00D55261">
      <w:pPr>
        <w:numPr>
          <w:ilvl w:val="0"/>
          <w:numId w:val="19"/>
        </w:numPr>
        <w:spacing w:after="200" w:line="276" w:lineRule="auto"/>
        <w:contextualSpacing/>
        <w:rPr>
          <w:rFonts w:ascii="Calibri" w:hAnsi="Calibri"/>
          <w:lang w:val="nl-BE" w:eastAsia="en-US"/>
        </w:rPr>
      </w:pPr>
      <w:r w:rsidRPr="00FB0D51">
        <w:rPr>
          <w:rFonts w:ascii="Calibri" w:hAnsi="Calibri"/>
          <w:lang w:val="nl-BE" w:eastAsia="en-US"/>
        </w:rPr>
        <w:t xml:space="preserve">Cultuurwijziging is cruciaal: sensibiliseren van lijnmanagers en personeelsleden, </w:t>
      </w:r>
      <w:r>
        <w:rPr>
          <w:rFonts w:ascii="Calibri" w:hAnsi="Calibri"/>
          <w:lang w:val="nl-BE" w:eastAsia="en-US"/>
        </w:rPr>
        <w:t xml:space="preserve">voorbeeldgedrag van de leidinggevenden, </w:t>
      </w:r>
      <w:r w:rsidRPr="00FB0D51">
        <w:rPr>
          <w:rFonts w:ascii="Calibri" w:hAnsi="Calibri"/>
          <w:lang w:val="nl-BE" w:eastAsia="en-US"/>
        </w:rPr>
        <w:t>positief waarderen van voorbeeldgedrag</w:t>
      </w:r>
      <w:r>
        <w:rPr>
          <w:rFonts w:ascii="Calibri" w:hAnsi="Calibri"/>
          <w:lang w:val="nl-BE" w:eastAsia="en-US"/>
        </w:rPr>
        <w:t xml:space="preserve"> bij alle personeelsleden</w:t>
      </w:r>
      <w:r w:rsidRPr="00FB0D51">
        <w:rPr>
          <w:rFonts w:ascii="Calibri" w:hAnsi="Calibri"/>
          <w:lang w:val="nl-BE" w:eastAsia="en-US"/>
        </w:rPr>
        <w:t>, ....</w:t>
      </w:r>
    </w:p>
    <w:p w:rsidR="000A4587" w:rsidRPr="00FB0D51" w:rsidRDefault="000A4587" w:rsidP="00FB0D51">
      <w:pPr>
        <w:numPr>
          <w:ilvl w:val="0"/>
          <w:numId w:val="19"/>
        </w:numPr>
        <w:spacing w:after="200" w:line="276" w:lineRule="auto"/>
        <w:contextualSpacing/>
        <w:rPr>
          <w:rFonts w:ascii="Calibri" w:hAnsi="Calibri"/>
          <w:lang w:val="nl-BE" w:eastAsia="en-US"/>
        </w:rPr>
      </w:pPr>
      <w:r w:rsidRPr="00FB0D51">
        <w:rPr>
          <w:rFonts w:ascii="Calibri" w:hAnsi="Calibri"/>
          <w:lang w:val="nl-BE" w:eastAsia="en-US"/>
        </w:rPr>
        <w:t>Meten is weten. De definitie van mobiliteit wordt geïntegreerd binnen het project VO-rapportering.</w:t>
      </w:r>
    </w:p>
    <w:p w:rsidR="000A4587" w:rsidRPr="00FB0D51" w:rsidRDefault="000A4587" w:rsidP="00FB0D51">
      <w:pPr>
        <w:numPr>
          <w:ilvl w:val="0"/>
          <w:numId w:val="19"/>
        </w:numPr>
        <w:spacing w:after="200" w:line="276" w:lineRule="auto"/>
        <w:contextualSpacing/>
        <w:rPr>
          <w:rFonts w:ascii="Calibri" w:hAnsi="Calibri"/>
          <w:lang w:val="nl-BE" w:eastAsia="en-US"/>
        </w:rPr>
      </w:pPr>
      <w:r w:rsidRPr="00FB0D51">
        <w:rPr>
          <w:rFonts w:ascii="Calibri" w:hAnsi="Calibri"/>
          <w:lang w:val="nl-BE" w:eastAsia="en-US"/>
        </w:rPr>
        <w:t>Mobiliteit wordt beschouwd als een hulpmiddel om een modern competentie- en talentenbeleid te vo</w:t>
      </w:r>
      <w:r w:rsidRPr="00FB0D51">
        <w:rPr>
          <w:rFonts w:ascii="Calibri" w:hAnsi="Calibri"/>
          <w:lang w:val="nl-BE" w:eastAsia="en-US"/>
        </w:rPr>
        <w:t>e</w:t>
      </w:r>
      <w:r w:rsidRPr="00FB0D51">
        <w:rPr>
          <w:rFonts w:ascii="Calibri" w:hAnsi="Calibri"/>
          <w:lang w:val="nl-BE" w:eastAsia="en-US"/>
        </w:rPr>
        <w:t>ren, waarbij zowel de individuele als organisatorische ontwikkeling gestimuleerd wordt.</w:t>
      </w:r>
    </w:p>
    <w:p w:rsidR="000A4587" w:rsidRPr="00FB0D51" w:rsidRDefault="000A4587" w:rsidP="00FB0D51">
      <w:pPr>
        <w:numPr>
          <w:ilvl w:val="0"/>
          <w:numId w:val="19"/>
        </w:numPr>
        <w:spacing w:after="200" w:line="276" w:lineRule="auto"/>
        <w:contextualSpacing/>
        <w:rPr>
          <w:rFonts w:ascii="Calibri" w:hAnsi="Calibri"/>
          <w:lang w:val="nl-BE" w:eastAsia="en-US"/>
        </w:rPr>
      </w:pPr>
      <w:r w:rsidRPr="00FB0D51">
        <w:rPr>
          <w:rFonts w:ascii="Calibri" w:hAnsi="Calibri"/>
          <w:lang w:val="nl-BE" w:eastAsia="en-US"/>
        </w:rPr>
        <w:t>Versterken van en communiceren over bestaande goede praktijken, zoals bijvoorbeeld het rotatiebeleid dat in verschillende entiteiten in de praktijk is gebracht.</w:t>
      </w:r>
    </w:p>
    <w:p w:rsidR="000A4587" w:rsidRPr="00FB0D51" w:rsidRDefault="000A4587" w:rsidP="00FB0D51">
      <w:pPr>
        <w:numPr>
          <w:ilvl w:val="0"/>
          <w:numId w:val="19"/>
        </w:numPr>
        <w:spacing w:after="200" w:line="276" w:lineRule="auto"/>
        <w:contextualSpacing/>
        <w:rPr>
          <w:rFonts w:ascii="Calibri" w:hAnsi="Calibri"/>
          <w:lang w:val="nl-BE" w:eastAsia="en-US"/>
        </w:rPr>
      </w:pPr>
      <w:r w:rsidRPr="00FB0D51">
        <w:rPr>
          <w:rFonts w:ascii="Calibri" w:hAnsi="Calibri"/>
          <w:lang w:val="nl-BE" w:eastAsia="en-US"/>
        </w:rPr>
        <w:t>Wegwerken van organisatorische en juridische barrières: korte en soepele procedures zijn een noo</w:t>
      </w:r>
      <w:r w:rsidRPr="00FB0D51">
        <w:rPr>
          <w:rFonts w:ascii="Calibri" w:hAnsi="Calibri"/>
          <w:lang w:val="nl-BE" w:eastAsia="en-US"/>
        </w:rPr>
        <w:t>d</w:t>
      </w:r>
      <w:r w:rsidRPr="00FB0D51">
        <w:rPr>
          <w:rFonts w:ascii="Calibri" w:hAnsi="Calibri"/>
          <w:lang w:val="nl-BE" w:eastAsia="en-US"/>
        </w:rPr>
        <w:t>zaak, weg van het diploma denken, nodeloos hertesten vermijden, schijnvacatures vermijden.</w:t>
      </w:r>
    </w:p>
    <w:p w:rsidR="000A4587" w:rsidRPr="00FB0D51" w:rsidRDefault="000A4587" w:rsidP="00FB0D51">
      <w:pPr>
        <w:numPr>
          <w:ilvl w:val="0"/>
          <w:numId w:val="19"/>
        </w:numPr>
        <w:spacing w:after="200" w:line="276" w:lineRule="auto"/>
        <w:contextualSpacing/>
        <w:rPr>
          <w:rFonts w:ascii="Calibri" w:hAnsi="Calibri"/>
          <w:lang w:val="nl-BE" w:eastAsia="en-US"/>
        </w:rPr>
      </w:pPr>
      <w:r w:rsidRPr="00FB0D51">
        <w:rPr>
          <w:rFonts w:ascii="Calibri" w:hAnsi="Calibri"/>
          <w:lang w:val="nl-BE" w:eastAsia="en-US"/>
        </w:rPr>
        <w:t>IT inzetten om mobiliteit te faciliteren (competentie- en talentendatabank, Pleio, VO-Linkedin, …).</w:t>
      </w:r>
    </w:p>
    <w:p w:rsidR="000A4587" w:rsidRPr="00FB0D51" w:rsidRDefault="000A4587" w:rsidP="00FB0D51">
      <w:pPr>
        <w:numPr>
          <w:ilvl w:val="0"/>
          <w:numId w:val="19"/>
        </w:numPr>
        <w:spacing w:after="200" w:line="276" w:lineRule="auto"/>
        <w:contextualSpacing/>
        <w:rPr>
          <w:rFonts w:ascii="Calibri" w:hAnsi="Calibri"/>
          <w:lang w:val="nl-BE" w:eastAsia="en-US"/>
        </w:rPr>
      </w:pPr>
      <w:r w:rsidRPr="00FB0D51">
        <w:rPr>
          <w:rFonts w:ascii="Calibri" w:hAnsi="Calibri"/>
          <w:lang w:val="nl-BE" w:eastAsia="en-US"/>
        </w:rPr>
        <w:t>Om dit alles mogelijk te maken wordt, los van de bovenstaande elementen die opgenomen worden bi</w:t>
      </w:r>
      <w:r w:rsidRPr="00FB0D51">
        <w:rPr>
          <w:rFonts w:ascii="Calibri" w:hAnsi="Calibri"/>
          <w:lang w:val="nl-BE" w:eastAsia="en-US"/>
        </w:rPr>
        <w:t>n</w:t>
      </w:r>
      <w:r w:rsidRPr="00FB0D51">
        <w:rPr>
          <w:rFonts w:ascii="Calibri" w:hAnsi="Calibri"/>
          <w:lang w:val="nl-BE" w:eastAsia="en-US"/>
        </w:rPr>
        <w:t>nen de algemene context van het project Modern HR-beleid en de andere deelprojecten, ingezet op de volgende projecten:</w:t>
      </w:r>
    </w:p>
    <w:p w:rsidR="000A4587" w:rsidRPr="00FB0D51" w:rsidRDefault="000A4587" w:rsidP="00FB0D51">
      <w:pPr>
        <w:spacing w:after="200" w:line="276" w:lineRule="auto"/>
        <w:ind w:left="360"/>
        <w:contextualSpacing/>
        <w:rPr>
          <w:rFonts w:ascii="Calibri" w:hAnsi="Calibri"/>
          <w:lang w:val="nl-BE" w:eastAsia="en-US"/>
        </w:rPr>
      </w:pPr>
    </w:p>
    <w:p w:rsidR="000A4587" w:rsidRPr="00FB0D51" w:rsidRDefault="000A4587" w:rsidP="00FB0D51">
      <w:pPr>
        <w:numPr>
          <w:ilvl w:val="1"/>
          <w:numId w:val="19"/>
        </w:numPr>
        <w:spacing w:after="200" w:line="276" w:lineRule="auto"/>
        <w:contextualSpacing/>
        <w:rPr>
          <w:rFonts w:ascii="Calibri" w:hAnsi="Calibri"/>
          <w:lang w:val="nl-BE" w:eastAsia="en-US"/>
        </w:rPr>
      </w:pPr>
      <w:r w:rsidRPr="00FB0D51">
        <w:rPr>
          <w:rFonts w:ascii="Calibri" w:hAnsi="Calibri"/>
          <w:lang w:val="nl-BE" w:eastAsia="en-US"/>
        </w:rPr>
        <w:t>Het stimuleren van de al dan niet tijdelijke mobiliteit met de Europese (centrale en regionale)</w:t>
      </w:r>
      <w:r>
        <w:rPr>
          <w:rFonts w:ascii="Calibri" w:hAnsi="Calibri"/>
          <w:lang w:val="nl-BE" w:eastAsia="en-US"/>
        </w:rPr>
        <w:t xml:space="preserve"> en internationale</w:t>
      </w:r>
      <w:r w:rsidRPr="00FB0D51">
        <w:rPr>
          <w:rFonts w:ascii="Calibri" w:hAnsi="Calibri"/>
          <w:lang w:val="nl-BE" w:eastAsia="en-US"/>
        </w:rPr>
        <w:t xml:space="preserve"> besturen;</w:t>
      </w:r>
    </w:p>
    <w:p w:rsidR="000A4587" w:rsidRPr="00FB0D51" w:rsidRDefault="000A4587" w:rsidP="00FB0D51">
      <w:pPr>
        <w:numPr>
          <w:ilvl w:val="1"/>
          <w:numId w:val="19"/>
        </w:numPr>
        <w:spacing w:after="200" w:line="276" w:lineRule="auto"/>
        <w:contextualSpacing/>
        <w:rPr>
          <w:rFonts w:ascii="Calibri" w:hAnsi="Calibri"/>
          <w:lang w:val="nl-BE" w:eastAsia="en-US"/>
        </w:rPr>
      </w:pPr>
      <w:r w:rsidRPr="00FB0D51">
        <w:rPr>
          <w:rFonts w:ascii="Calibri" w:hAnsi="Calibri"/>
          <w:lang w:val="nl-BE" w:eastAsia="en-US"/>
        </w:rPr>
        <w:t>Het stimuleren van de al dan niet tijdelijke mobiliteit met de lokale besturen in Vlaanderen;</w:t>
      </w:r>
    </w:p>
    <w:p w:rsidR="000A4587" w:rsidRPr="00FB0D51" w:rsidRDefault="000A4587" w:rsidP="00FB0D51">
      <w:pPr>
        <w:numPr>
          <w:ilvl w:val="1"/>
          <w:numId w:val="19"/>
        </w:numPr>
        <w:spacing w:after="200" w:line="276" w:lineRule="auto"/>
        <w:contextualSpacing/>
        <w:rPr>
          <w:rFonts w:ascii="Calibri" w:hAnsi="Calibri"/>
          <w:lang w:val="nl-BE" w:eastAsia="en-US"/>
        </w:rPr>
      </w:pPr>
      <w:r w:rsidRPr="00FB0D51">
        <w:rPr>
          <w:rFonts w:ascii="Calibri" w:hAnsi="Calibri"/>
          <w:lang w:val="nl-BE" w:eastAsia="en-US"/>
        </w:rPr>
        <w:t>Het stimuleren van tijdelijke mobiliteit binnen de Vlaamse overheid;</w:t>
      </w:r>
    </w:p>
    <w:p w:rsidR="000A4587" w:rsidRPr="00FB0D51" w:rsidRDefault="000A4587" w:rsidP="00FB0D51">
      <w:pPr>
        <w:numPr>
          <w:ilvl w:val="1"/>
          <w:numId w:val="19"/>
        </w:numPr>
        <w:spacing w:after="200" w:line="276" w:lineRule="auto"/>
        <w:contextualSpacing/>
        <w:rPr>
          <w:rFonts w:ascii="Calibri" w:hAnsi="Calibri"/>
          <w:lang w:val="nl-BE" w:eastAsia="en-US"/>
        </w:rPr>
      </w:pPr>
      <w:r w:rsidRPr="00FB0D51">
        <w:rPr>
          <w:rFonts w:ascii="Calibri" w:hAnsi="Calibri"/>
          <w:lang w:val="nl-BE" w:eastAsia="en-US"/>
        </w:rPr>
        <w:t>Het versterken van coaching (dit project werd o.l.v. Mieke Stappaerts reeds opgestart), netwe</w:t>
      </w:r>
      <w:r w:rsidRPr="00FB0D51">
        <w:rPr>
          <w:rFonts w:ascii="Calibri" w:hAnsi="Calibri"/>
          <w:lang w:val="nl-BE" w:eastAsia="en-US"/>
        </w:rPr>
        <w:t>r</w:t>
      </w:r>
      <w:r w:rsidRPr="00FB0D51">
        <w:rPr>
          <w:rFonts w:ascii="Calibri" w:hAnsi="Calibri"/>
          <w:lang w:val="nl-BE" w:eastAsia="en-US"/>
        </w:rPr>
        <w:t>king en loopbaanbegeleiding binnen de Vlaamse overheid.</w:t>
      </w:r>
    </w:p>
    <w:p w:rsidR="000A4587" w:rsidRPr="00D55261" w:rsidRDefault="000A4587" w:rsidP="00D55261">
      <w:pPr>
        <w:spacing w:after="200" w:line="276" w:lineRule="auto"/>
        <w:rPr>
          <w:rFonts w:ascii="Calibri" w:hAnsi="Calibri"/>
          <w:lang w:val="nl-BE" w:eastAsia="en-US"/>
        </w:rPr>
      </w:pPr>
    </w:p>
    <w:p w:rsidR="000A4587" w:rsidRDefault="000A4587" w:rsidP="00D55261">
      <w:pPr>
        <w:spacing w:after="200" w:line="276" w:lineRule="auto"/>
        <w:rPr>
          <w:rFonts w:ascii="Calibri" w:hAnsi="Calibri"/>
          <w:lang w:val="nl-BE" w:eastAsia="en-US"/>
        </w:rPr>
      </w:pPr>
      <w:r w:rsidRPr="00D55261">
        <w:rPr>
          <w:rFonts w:ascii="Calibri" w:hAnsi="Calibri"/>
          <w:lang w:val="nl-BE" w:eastAsia="en-US"/>
        </w:rPr>
        <w:t xml:space="preserve">Bij de verdere uitwerking van de </w:t>
      </w:r>
      <w:r>
        <w:rPr>
          <w:rFonts w:ascii="Calibri" w:hAnsi="Calibri"/>
          <w:lang w:val="nl-BE" w:eastAsia="en-US"/>
        </w:rPr>
        <w:t>diverse projecten inzake mobiliteit en/of de ander deelprojecten van het modern HR-beleid zullen oplossingen aangereikt worden voor</w:t>
      </w:r>
    </w:p>
    <w:p w:rsidR="000A4587" w:rsidRDefault="000A4587" w:rsidP="0042078C">
      <w:pPr>
        <w:numPr>
          <w:ilvl w:val="1"/>
          <w:numId w:val="19"/>
        </w:numPr>
        <w:spacing w:after="200" w:line="276" w:lineRule="auto"/>
        <w:contextualSpacing/>
        <w:rPr>
          <w:rFonts w:ascii="Calibri" w:hAnsi="Calibri"/>
          <w:lang w:val="nl-BE" w:eastAsia="en-US"/>
        </w:rPr>
      </w:pPr>
      <w:r>
        <w:rPr>
          <w:rFonts w:ascii="Calibri" w:hAnsi="Calibri"/>
          <w:lang w:val="nl-BE" w:eastAsia="en-US"/>
        </w:rPr>
        <w:t>De wijze waarop, binnen de algemene doelstellingen van mobiliteit (“</w:t>
      </w:r>
      <w:r w:rsidRPr="002A12B1">
        <w:rPr>
          <w:rFonts w:ascii="Calibri" w:hAnsi="Calibri"/>
          <w:i/>
          <w:lang w:val="nl-BE" w:eastAsia="en-US"/>
        </w:rPr>
        <w:t>iets anders of ergens a</w:t>
      </w:r>
      <w:r w:rsidRPr="002A12B1">
        <w:rPr>
          <w:rFonts w:ascii="Calibri" w:hAnsi="Calibri"/>
          <w:i/>
          <w:lang w:val="nl-BE" w:eastAsia="en-US"/>
        </w:rPr>
        <w:t>n</w:t>
      </w:r>
      <w:r w:rsidRPr="002A12B1">
        <w:rPr>
          <w:rFonts w:ascii="Calibri" w:hAnsi="Calibri"/>
          <w:i/>
          <w:lang w:val="nl-BE" w:eastAsia="en-US"/>
        </w:rPr>
        <w:t>ders</w:t>
      </w:r>
      <w:r>
        <w:rPr>
          <w:rFonts w:ascii="Calibri" w:hAnsi="Calibri"/>
          <w:lang w:val="nl-BE" w:eastAsia="en-US"/>
        </w:rPr>
        <w:t>”) én de voorbeeldfunctie van de leidinggevenden, de mobiliteit van de huidige mandaa</w:t>
      </w:r>
      <w:r>
        <w:rPr>
          <w:rFonts w:ascii="Calibri" w:hAnsi="Calibri"/>
          <w:lang w:val="nl-BE" w:eastAsia="en-US"/>
        </w:rPr>
        <w:t>t</w:t>
      </w:r>
      <w:r>
        <w:rPr>
          <w:rFonts w:ascii="Calibri" w:hAnsi="Calibri"/>
          <w:lang w:val="nl-BE" w:eastAsia="en-US"/>
        </w:rPr>
        <w:t>houders van het top- en middenkader zal aangemoedigd en vergemakkelijkt worden.</w:t>
      </w:r>
    </w:p>
    <w:p w:rsidR="000A4587" w:rsidRDefault="000A4587" w:rsidP="0042078C">
      <w:pPr>
        <w:numPr>
          <w:ilvl w:val="1"/>
          <w:numId w:val="19"/>
        </w:numPr>
        <w:spacing w:after="200" w:line="276" w:lineRule="auto"/>
        <w:contextualSpacing/>
        <w:rPr>
          <w:rFonts w:ascii="Calibri" w:hAnsi="Calibri"/>
          <w:lang w:val="nl-BE" w:eastAsia="en-US"/>
        </w:rPr>
      </w:pPr>
      <w:r>
        <w:rPr>
          <w:rFonts w:ascii="Calibri" w:hAnsi="Calibri"/>
          <w:lang w:val="nl-BE" w:eastAsia="en-US"/>
        </w:rPr>
        <w:t>De impact van mobiliteit op de loopbaanmogelijkheden en de mate waarin ervaring in diverse functies en op diverse plaatsen een voorwaarde of een belangrijk element moet zijn bij sommige verticale doorstromingsmogelijken, zoals deze naar top- en/of middenkader.</w:t>
      </w:r>
    </w:p>
    <w:p w:rsidR="000A4587" w:rsidRDefault="000A4587" w:rsidP="002A12B1">
      <w:pPr>
        <w:numPr>
          <w:ilvl w:val="1"/>
          <w:numId w:val="19"/>
        </w:numPr>
        <w:spacing w:after="200" w:line="276" w:lineRule="auto"/>
        <w:contextualSpacing/>
        <w:rPr>
          <w:rFonts w:ascii="Calibri" w:hAnsi="Calibri"/>
          <w:lang w:val="nl-BE" w:eastAsia="en-US"/>
        </w:rPr>
      </w:pPr>
      <w:r>
        <w:rPr>
          <w:rFonts w:ascii="Calibri" w:hAnsi="Calibri"/>
          <w:lang w:val="nl-BE" w:eastAsia="en-US"/>
        </w:rPr>
        <w:t>De mate waarin personeelsleden in mobiliteit, inzonderheid wanneer die het gevolg is van org</w:t>
      </w:r>
      <w:r>
        <w:rPr>
          <w:rFonts w:ascii="Calibri" w:hAnsi="Calibri"/>
          <w:lang w:val="nl-BE" w:eastAsia="en-US"/>
        </w:rPr>
        <w:t>a</w:t>
      </w:r>
      <w:r>
        <w:rPr>
          <w:rFonts w:ascii="Calibri" w:hAnsi="Calibri"/>
          <w:lang w:val="nl-BE" w:eastAsia="en-US"/>
        </w:rPr>
        <w:t>nisatorische veranderingen, een budgettaire rugzak (vb verschil tussen wervingskost en reële kost) meebrengen.</w:t>
      </w:r>
    </w:p>
    <w:p w:rsidR="000A4587" w:rsidRDefault="000A4587" w:rsidP="0042078C">
      <w:pPr>
        <w:numPr>
          <w:ilvl w:val="1"/>
          <w:numId w:val="19"/>
        </w:numPr>
        <w:spacing w:after="200" w:line="276" w:lineRule="auto"/>
        <w:contextualSpacing/>
        <w:rPr>
          <w:rFonts w:ascii="Calibri" w:hAnsi="Calibri"/>
          <w:lang w:val="nl-BE" w:eastAsia="en-US"/>
        </w:rPr>
      </w:pPr>
      <w:r>
        <w:rPr>
          <w:rFonts w:ascii="Calibri" w:hAnsi="Calibri"/>
          <w:lang w:val="nl-BE" w:eastAsia="en-US"/>
        </w:rPr>
        <w:t>De impact van inzonderheid tijdelijke mobiliteit op de berekening van het aantal “koppen” om op die manier dubbeltellingen te vermijden.</w:t>
      </w:r>
    </w:p>
    <w:p w:rsidR="000A4587" w:rsidRDefault="000A4587" w:rsidP="0042078C">
      <w:pPr>
        <w:numPr>
          <w:ilvl w:val="1"/>
          <w:numId w:val="19"/>
        </w:numPr>
        <w:spacing w:after="200" w:line="276" w:lineRule="auto"/>
        <w:contextualSpacing/>
        <w:rPr>
          <w:rFonts w:ascii="Calibri" w:hAnsi="Calibri"/>
          <w:lang w:val="nl-BE" w:eastAsia="en-US"/>
        </w:rPr>
      </w:pPr>
      <w:r>
        <w:rPr>
          <w:rFonts w:ascii="Calibri" w:hAnsi="Calibri"/>
          <w:lang w:val="nl-BE" w:eastAsia="en-US"/>
        </w:rPr>
        <w:t>Het dilemma van de budgettaire impact van tijdelijke mobiliteit (vb. 70-20-10). Op langere te</w:t>
      </w:r>
      <w:r>
        <w:rPr>
          <w:rFonts w:ascii="Calibri" w:hAnsi="Calibri"/>
          <w:lang w:val="nl-BE" w:eastAsia="en-US"/>
        </w:rPr>
        <w:t>r</w:t>
      </w:r>
      <w:r>
        <w:rPr>
          <w:rFonts w:ascii="Calibri" w:hAnsi="Calibri"/>
          <w:lang w:val="nl-BE" w:eastAsia="en-US"/>
        </w:rPr>
        <w:t>mijn zal een goede toepassing hiervan weliswaar leiden tot meer (ook budgettaire) efficiëntie, op korte termijn kan dit wel leiden tot hogere personeelskosten.</w:t>
      </w:r>
    </w:p>
    <w:p w:rsidR="000A4587" w:rsidRPr="00D55261" w:rsidRDefault="000A4587" w:rsidP="0042078C">
      <w:pPr>
        <w:numPr>
          <w:ilvl w:val="1"/>
          <w:numId w:val="19"/>
        </w:numPr>
        <w:spacing w:after="200" w:line="276" w:lineRule="auto"/>
        <w:contextualSpacing/>
        <w:rPr>
          <w:rFonts w:ascii="Calibri" w:hAnsi="Calibri"/>
          <w:lang w:val="nl-BE" w:eastAsia="en-US"/>
        </w:rPr>
      </w:pPr>
      <w:r>
        <w:rPr>
          <w:rFonts w:ascii="Calibri" w:hAnsi="Calibri"/>
          <w:lang w:val="nl-BE" w:eastAsia="en-US"/>
        </w:rPr>
        <w:t>De inspanningen inzake bij- en omscholing die in sommige gevallen noodzakelijk zijn om pers</w:t>
      </w:r>
      <w:r>
        <w:rPr>
          <w:rFonts w:ascii="Calibri" w:hAnsi="Calibri"/>
          <w:lang w:val="nl-BE" w:eastAsia="en-US"/>
        </w:rPr>
        <w:t>o</w:t>
      </w:r>
      <w:r>
        <w:rPr>
          <w:rFonts w:ascii="Calibri" w:hAnsi="Calibri"/>
          <w:lang w:val="nl-BE" w:eastAsia="en-US"/>
        </w:rPr>
        <w:t>neelsleden ingevolge van wijzigende opdrachten en werkwijzen verder inzetbaar te houden voor de Vlaamse overheid, zij het in een andere of aangepaste functie.</w:t>
      </w:r>
    </w:p>
    <w:sectPr w:rsidR="000A4587" w:rsidRPr="00D55261" w:rsidSect="00402095">
      <w:headerReference w:type="default" r:id="rId7"/>
      <w:headerReference w:type="first" r:id="rId8"/>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587" w:rsidRDefault="000A4587">
      <w:r>
        <w:separator/>
      </w:r>
    </w:p>
  </w:endnote>
  <w:endnote w:type="continuationSeparator" w:id="0">
    <w:p w:rsidR="000A4587" w:rsidRDefault="000A45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587" w:rsidRDefault="000A4587">
      <w:r>
        <w:separator/>
      </w:r>
    </w:p>
  </w:footnote>
  <w:footnote w:type="continuationSeparator" w:id="0">
    <w:p w:rsidR="000A4587" w:rsidRDefault="000A4587">
      <w:r>
        <w:continuationSeparator/>
      </w:r>
    </w:p>
  </w:footnote>
  <w:footnote w:id="1">
    <w:p w:rsidR="000A4587" w:rsidRDefault="000A4587" w:rsidP="00DA614E">
      <w:pPr>
        <w:pStyle w:val="Default"/>
        <w:rPr>
          <w:sz w:val="14"/>
          <w:szCs w:val="14"/>
        </w:rPr>
      </w:pPr>
      <w:r w:rsidRPr="003452A3">
        <w:rPr>
          <w:rStyle w:val="FootnoteReference"/>
          <w:i/>
          <w:sz w:val="14"/>
        </w:rPr>
        <w:footnoteRef/>
      </w:r>
      <w:r w:rsidRPr="003452A3">
        <w:rPr>
          <w:i/>
          <w:sz w:val="14"/>
          <w:lang w:val="en-US"/>
        </w:rPr>
        <w:t xml:space="preserve"> </w:t>
      </w:r>
      <w:r>
        <w:rPr>
          <w:sz w:val="13"/>
          <w:szCs w:val="13"/>
        </w:rPr>
        <w:t xml:space="preserve"> </w:t>
      </w:r>
      <w:r>
        <w:rPr>
          <w:i/>
          <w:iCs/>
          <w:sz w:val="14"/>
          <w:szCs w:val="14"/>
        </w:rPr>
        <w:t xml:space="preserve">Het 70/20/10-principe zoals verwoord door het topmanagement van de Vlaamse overheid (op het seminarie van de top van 2011) luidt als volgt: </w:t>
      </w:r>
    </w:p>
    <w:p w:rsidR="000A4587" w:rsidRDefault="000A4587" w:rsidP="00DA614E">
      <w:pPr>
        <w:pStyle w:val="Default"/>
        <w:rPr>
          <w:sz w:val="14"/>
          <w:szCs w:val="14"/>
        </w:rPr>
      </w:pPr>
      <w:r>
        <w:rPr>
          <w:i/>
          <w:iCs/>
          <w:sz w:val="14"/>
          <w:szCs w:val="14"/>
        </w:rPr>
        <w:t xml:space="preserve">Medewerkers werken: </w:t>
      </w:r>
    </w:p>
    <w:p w:rsidR="000A4587" w:rsidRDefault="000A4587" w:rsidP="00DA614E">
      <w:pPr>
        <w:pStyle w:val="Default"/>
        <w:spacing w:after="4"/>
        <w:rPr>
          <w:sz w:val="14"/>
          <w:szCs w:val="14"/>
        </w:rPr>
      </w:pPr>
      <w:r>
        <w:rPr>
          <w:sz w:val="14"/>
          <w:szCs w:val="14"/>
        </w:rPr>
        <w:t xml:space="preserve">- </w:t>
      </w:r>
      <w:r>
        <w:rPr>
          <w:i/>
          <w:iCs/>
          <w:sz w:val="14"/>
          <w:szCs w:val="14"/>
        </w:rPr>
        <w:t xml:space="preserve">70% van hun werktijd voor hun directe leidinggevende, </w:t>
      </w:r>
    </w:p>
    <w:p w:rsidR="000A4587" w:rsidRDefault="000A4587" w:rsidP="00DA614E">
      <w:pPr>
        <w:pStyle w:val="Default"/>
        <w:spacing w:after="4"/>
        <w:rPr>
          <w:sz w:val="14"/>
          <w:szCs w:val="14"/>
        </w:rPr>
      </w:pPr>
      <w:r>
        <w:rPr>
          <w:sz w:val="14"/>
          <w:szCs w:val="14"/>
        </w:rPr>
        <w:t xml:space="preserve">- </w:t>
      </w:r>
      <w:r>
        <w:rPr>
          <w:i/>
          <w:iCs/>
          <w:sz w:val="14"/>
          <w:szCs w:val="14"/>
        </w:rPr>
        <w:t xml:space="preserve">20% van hun werkttijd voor anderen binnen de eigen organisatie, </w:t>
      </w:r>
    </w:p>
    <w:p w:rsidR="000A4587" w:rsidRDefault="000A4587" w:rsidP="00DA614E">
      <w:pPr>
        <w:pStyle w:val="Default"/>
        <w:rPr>
          <w:sz w:val="14"/>
          <w:szCs w:val="14"/>
        </w:rPr>
      </w:pPr>
      <w:r>
        <w:rPr>
          <w:sz w:val="14"/>
          <w:szCs w:val="14"/>
        </w:rPr>
        <w:t xml:space="preserve">- </w:t>
      </w:r>
      <w:r>
        <w:rPr>
          <w:i/>
          <w:iCs/>
          <w:sz w:val="14"/>
          <w:szCs w:val="14"/>
        </w:rPr>
        <w:t xml:space="preserve">10% van hun werktijd mogen medewerkers zelf invullen door te gaan werken bij een andere organisatie, bij een andere overheid, bij een stakeholder van de eigen organisatie, door te netwerken...) </w:t>
      </w:r>
    </w:p>
    <w:p w:rsidR="000A4587" w:rsidRDefault="000A4587" w:rsidP="00DA614E">
      <w:pPr>
        <w:pStyle w:val="Defaul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587" w:rsidRDefault="000A4587" w:rsidP="00402095">
    <w:pPr>
      <w:pStyle w:val="Header"/>
      <w:pBdr>
        <w:bottom w:val="single" w:sz="4" w:space="1" w:color="D9D9D9"/>
      </w:pBdr>
      <w:rPr>
        <w:b/>
        <w:bCs/>
      </w:rPr>
    </w:pPr>
    <w:r w:rsidRPr="00402095">
      <w:rPr>
        <w:rFonts w:ascii="Comic Sans MS" w:hAnsi="Comic Sans MS"/>
        <w:color w:val="A6A6A6"/>
        <w:spacing w:val="60"/>
        <w:sz w:val="20"/>
      </w:rPr>
      <w:t>MHR – Visietekst Mobiliteit</w:t>
    </w:r>
    <w:r>
      <w:rPr>
        <w:color w:val="808080"/>
        <w:spacing w:val="60"/>
      </w:rPr>
      <w:tab/>
    </w:r>
    <w:r>
      <w:rPr>
        <w:color w:val="808080"/>
        <w:spacing w:val="60"/>
      </w:rPr>
      <w:tab/>
    </w:r>
    <w:r w:rsidRPr="00402095">
      <w:rPr>
        <w:color w:val="808080"/>
        <w:spacing w:val="60"/>
      </w:rPr>
      <w:t>Pagina</w:t>
    </w:r>
    <w:r>
      <w:t xml:space="preserve"> | </w:t>
    </w:r>
    <w:fldSimple w:instr="PAGE   \* MERGEFORMAT">
      <w:r w:rsidRPr="004073A7">
        <w:rPr>
          <w:b/>
          <w:bCs/>
          <w:noProof/>
        </w:rPr>
        <w:t>2</w:t>
      </w:r>
    </w:fldSimple>
  </w:p>
  <w:p w:rsidR="000A4587" w:rsidRDefault="000A45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587" w:rsidRDefault="000A4587" w:rsidP="00350E7A">
    <w:pPr>
      <w:pStyle w:val="Header"/>
      <w:jc w:val="right"/>
    </w:pPr>
    <w:r>
      <w:rPr>
        <w:noProof/>
        <w:lang w:val="nl-BE" w:eastAsia="nl-BE"/>
      </w:rPr>
      <w:pict>
        <v:shapetype id="_x0000_t202" coordsize="21600,21600" o:spt="202" path="m,l,21600r21600,l21600,xe">
          <v:stroke joinstyle="miter"/>
          <v:path gradientshapeok="t" o:connecttype="rect"/>
        </v:shapetype>
        <v:shape id="Tekstvak 2" o:spid="_x0000_s2049" type="#_x0000_t202" style="position:absolute;left:0;text-align:left;margin-left:237pt;margin-top:-15.55pt;width:216.25pt;height:20.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">
          <v:textbox>
            <w:txbxContent>
              <w:p w:rsidR="000A4587" w:rsidRDefault="000A4587" w:rsidP="00350E7A">
                <w:pPr>
                  <w:jc w:val="center"/>
                </w:pPr>
                <w:r w:rsidRPr="00350E7A">
                  <w:t>CAG/12/</w:t>
                </w:r>
                <w:r>
                  <w:t>12.07</w:t>
                </w:r>
                <w:r w:rsidRPr="00350E7A">
                  <w:t>/</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E2022"/>
    <w:multiLevelType w:val="hybridMultilevel"/>
    <w:tmpl w:val="0982306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A42410C"/>
    <w:multiLevelType w:val="hybridMultilevel"/>
    <w:tmpl w:val="87EC111E"/>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2">
    <w:nsid w:val="0AA20F74"/>
    <w:multiLevelType w:val="hybridMultilevel"/>
    <w:tmpl w:val="3854556A"/>
    <w:lvl w:ilvl="0" w:tplc="0413000F">
      <w:start w:val="1"/>
      <w:numFmt w:val="decimal"/>
      <w:lvlText w:val="%1."/>
      <w:lvlJc w:val="left"/>
      <w:pPr>
        <w:tabs>
          <w:tab w:val="num" w:pos="360"/>
        </w:tabs>
        <w:ind w:left="360" w:hanging="360"/>
      </w:pPr>
      <w:rPr>
        <w:rFonts w:cs="Times New Roman"/>
      </w:rPr>
    </w:lvl>
    <w:lvl w:ilvl="1" w:tplc="C2D26B8E">
      <w:numFmt w:val="bullet"/>
      <w:lvlText w:val=""/>
      <w:lvlJc w:val="left"/>
      <w:pPr>
        <w:tabs>
          <w:tab w:val="num" w:pos="1080"/>
        </w:tabs>
        <w:ind w:left="1080" w:hanging="360"/>
      </w:pPr>
      <w:rPr>
        <w:rFonts w:ascii="Symbol" w:eastAsia="Times New Roman" w:hAnsi="Symbol" w:hint="default"/>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3">
    <w:nsid w:val="1BA9514E"/>
    <w:multiLevelType w:val="hybridMultilevel"/>
    <w:tmpl w:val="6B505062"/>
    <w:lvl w:ilvl="0" w:tplc="2D38243E">
      <w:start w:val="1"/>
      <w:numFmt w:val="decimal"/>
      <w:lvlText w:val="%1."/>
      <w:lvlJc w:val="left"/>
      <w:pPr>
        <w:ind w:left="1065" w:hanging="705"/>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4">
    <w:nsid w:val="1C116D2B"/>
    <w:multiLevelType w:val="multilevel"/>
    <w:tmpl w:val="4CD4DBC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1F67680B"/>
    <w:multiLevelType w:val="hybridMultilevel"/>
    <w:tmpl w:val="0A8E607E"/>
    <w:lvl w:ilvl="0" w:tplc="04130005">
      <w:start w:val="1"/>
      <w:numFmt w:val="bullet"/>
      <w:lvlText w:val=""/>
      <w:lvlJc w:val="left"/>
      <w:pPr>
        <w:tabs>
          <w:tab w:val="num" w:pos="1068"/>
        </w:tabs>
        <w:ind w:left="1068" w:hanging="360"/>
      </w:pPr>
      <w:rPr>
        <w:rFonts w:ascii="Wingdings" w:hAnsi="Wingdings" w:hint="default"/>
      </w:rPr>
    </w:lvl>
    <w:lvl w:ilvl="1" w:tplc="887C7484">
      <w:start w:val="2"/>
      <w:numFmt w:val="bullet"/>
      <w:lvlText w:val="-"/>
      <w:lvlJc w:val="left"/>
      <w:pPr>
        <w:tabs>
          <w:tab w:val="num" w:pos="1440"/>
        </w:tabs>
        <w:ind w:left="1440" w:hanging="360"/>
      </w:pPr>
      <w:rPr>
        <w:rFonts w:ascii="Times New Roman" w:eastAsia="Times New Roman" w:hAnsi="Times New Roman" w:hint="default"/>
      </w:rPr>
    </w:lvl>
    <w:lvl w:ilvl="2" w:tplc="C7C0923A">
      <w:start w:val="1"/>
      <w:numFmt w:val="bullet"/>
      <w:lvlText w:val=""/>
      <w:lvlJc w:val="left"/>
      <w:pPr>
        <w:tabs>
          <w:tab w:val="num" w:pos="2160"/>
        </w:tabs>
        <w:ind w:left="2160" w:hanging="360"/>
      </w:pPr>
      <w:rPr>
        <w:rFonts w:ascii="Symbol" w:hAnsi="Symbol" w:hint="default"/>
      </w:rPr>
    </w:lvl>
    <w:lvl w:ilvl="3" w:tplc="04130005">
      <w:start w:val="1"/>
      <w:numFmt w:val="bullet"/>
      <w:lvlText w:val=""/>
      <w:lvlJc w:val="left"/>
      <w:pPr>
        <w:tabs>
          <w:tab w:val="num" w:pos="2880"/>
        </w:tabs>
        <w:ind w:left="2880" w:hanging="360"/>
      </w:pPr>
      <w:rPr>
        <w:rFonts w:ascii="Wingdings" w:hAnsi="Wingdings" w:hint="default"/>
      </w:rPr>
    </w:lvl>
    <w:lvl w:ilvl="4" w:tplc="C2D26B8E">
      <w:numFmt w:val="bullet"/>
      <w:lvlText w:val=""/>
      <w:lvlJc w:val="left"/>
      <w:pPr>
        <w:tabs>
          <w:tab w:val="num" w:pos="3600"/>
        </w:tabs>
        <w:ind w:left="3600" w:hanging="360"/>
      </w:pPr>
      <w:rPr>
        <w:rFonts w:ascii="Symbol" w:eastAsia="Times New Roman" w:hAnsi="Symbol" w:hint="default"/>
      </w:rPr>
    </w:lvl>
    <w:lvl w:ilvl="5" w:tplc="04130005">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86B56D6"/>
    <w:multiLevelType w:val="hybridMultilevel"/>
    <w:tmpl w:val="EB7C716C"/>
    <w:lvl w:ilvl="0" w:tplc="861A2294">
      <w:start w:val="1"/>
      <w:numFmt w:val="bullet"/>
      <w:lvlText w:val=""/>
      <w:lvlJc w:val="left"/>
      <w:pPr>
        <w:tabs>
          <w:tab w:val="num" w:pos="2160"/>
        </w:tabs>
        <w:ind w:left="2160" w:hanging="360"/>
      </w:pPr>
      <w:rPr>
        <w:rFonts w:ascii="Symbol" w:hAnsi="Symbol" w:hint="default"/>
        <w:color w:val="auto"/>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866961"/>
    <w:multiLevelType w:val="hybridMultilevel"/>
    <w:tmpl w:val="8F403744"/>
    <w:lvl w:ilvl="0" w:tplc="0813000F">
      <w:start w:val="1"/>
      <w:numFmt w:val="decimal"/>
      <w:lvlText w:val="%1."/>
      <w:lvlJc w:val="left"/>
      <w:pPr>
        <w:ind w:left="360" w:hanging="360"/>
      </w:pPr>
      <w:rPr>
        <w:rFonts w:cs="Times New Roman" w:hint="default"/>
      </w:rPr>
    </w:lvl>
    <w:lvl w:ilvl="1" w:tplc="08130019" w:tentative="1">
      <w:start w:val="1"/>
      <w:numFmt w:val="lowerLetter"/>
      <w:lvlText w:val="%2."/>
      <w:lvlJc w:val="left"/>
      <w:pPr>
        <w:ind w:left="1080" w:hanging="360"/>
      </w:pPr>
      <w:rPr>
        <w:rFonts w:cs="Times New Roman"/>
      </w:rPr>
    </w:lvl>
    <w:lvl w:ilvl="2" w:tplc="0813001B" w:tentative="1">
      <w:start w:val="1"/>
      <w:numFmt w:val="lowerRoman"/>
      <w:lvlText w:val="%3."/>
      <w:lvlJc w:val="right"/>
      <w:pPr>
        <w:ind w:left="1800" w:hanging="180"/>
      </w:pPr>
      <w:rPr>
        <w:rFonts w:cs="Times New Roman"/>
      </w:rPr>
    </w:lvl>
    <w:lvl w:ilvl="3" w:tplc="0813000F" w:tentative="1">
      <w:start w:val="1"/>
      <w:numFmt w:val="decimal"/>
      <w:lvlText w:val="%4."/>
      <w:lvlJc w:val="left"/>
      <w:pPr>
        <w:ind w:left="2520" w:hanging="360"/>
      </w:pPr>
      <w:rPr>
        <w:rFonts w:cs="Times New Roman"/>
      </w:rPr>
    </w:lvl>
    <w:lvl w:ilvl="4" w:tplc="08130019" w:tentative="1">
      <w:start w:val="1"/>
      <w:numFmt w:val="lowerLetter"/>
      <w:lvlText w:val="%5."/>
      <w:lvlJc w:val="left"/>
      <w:pPr>
        <w:ind w:left="3240" w:hanging="360"/>
      </w:pPr>
      <w:rPr>
        <w:rFonts w:cs="Times New Roman"/>
      </w:rPr>
    </w:lvl>
    <w:lvl w:ilvl="5" w:tplc="0813001B" w:tentative="1">
      <w:start w:val="1"/>
      <w:numFmt w:val="lowerRoman"/>
      <w:lvlText w:val="%6."/>
      <w:lvlJc w:val="right"/>
      <w:pPr>
        <w:ind w:left="3960" w:hanging="180"/>
      </w:pPr>
      <w:rPr>
        <w:rFonts w:cs="Times New Roman"/>
      </w:rPr>
    </w:lvl>
    <w:lvl w:ilvl="6" w:tplc="0813000F" w:tentative="1">
      <w:start w:val="1"/>
      <w:numFmt w:val="decimal"/>
      <w:lvlText w:val="%7."/>
      <w:lvlJc w:val="left"/>
      <w:pPr>
        <w:ind w:left="4680" w:hanging="360"/>
      </w:pPr>
      <w:rPr>
        <w:rFonts w:cs="Times New Roman"/>
      </w:rPr>
    </w:lvl>
    <w:lvl w:ilvl="7" w:tplc="08130019" w:tentative="1">
      <w:start w:val="1"/>
      <w:numFmt w:val="lowerLetter"/>
      <w:lvlText w:val="%8."/>
      <w:lvlJc w:val="left"/>
      <w:pPr>
        <w:ind w:left="5400" w:hanging="360"/>
      </w:pPr>
      <w:rPr>
        <w:rFonts w:cs="Times New Roman"/>
      </w:rPr>
    </w:lvl>
    <w:lvl w:ilvl="8" w:tplc="0813001B" w:tentative="1">
      <w:start w:val="1"/>
      <w:numFmt w:val="lowerRoman"/>
      <w:lvlText w:val="%9."/>
      <w:lvlJc w:val="right"/>
      <w:pPr>
        <w:ind w:left="6120" w:hanging="180"/>
      </w:pPr>
      <w:rPr>
        <w:rFonts w:cs="Times New Roman"/>
      </w:rPr>
    </w:lvl>
  </w:abstractNum>
  <w:abstractNum w:abstractNumId="8">
    <w:nsid w:val="33382C41"/>
    <w:multiLevelType w:val="hybridMultilevel"/>
    <w:tmpl w:val="09C2A832"/>
    <w:lvl w:ilvl="0" w:tplc="04130003">
      <w:start w:val="1"/>
      <w:numFmt w:val="bullet"/>
      <w:lvlText w:val="o"/>
      <w:lvlJc w:val="left"/>
      <w:pPr>
        <w:tabs>
          <w:tab w:val="num" w:pos="720"/>
        </w:tabs>
        <w:ind w:left="72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3BA15C69"/>
    <w:multiLevelType w:val="hybridMultilevel"/>
    <w:tmpl w:val="EB3C0124"/>
    <w:lvl w:ilvl="0" w:tplc="C2D26B8E">
      <w:numFmt w:val="bullet"/>
      <w:lvlText w:val=""/>
      <w:lvlJc w:val="left"/>
      <w:pPr>
        <w:tabs>
          <w:tab w:val="num" w:pos="1350"/>
        </w:tabs>
        <w:ind w:left="1350" w:hanging="360"/>
      </w:pPr>
      <w:rPr>
        <w:rFonts w:ascii="Symbol" w:eastAsia="Times New Roman" w:hAnsi="Symbol" w:hint="default"/>
      </w:rPr>
    </w:lvl>
    <w:lvl w:ilvl="1" w:tplc="04130003" w:tentative="1">
      <w:start w:val="1"/>
      <w:numFmt w:val="bullet"/>
      <w:lvlText w:val="o"/>
      <w:lvlJc w:val="left"/>
      <w:pPr>
        <w:tabs>
          <w:tab w:val="num" w:pos="2070"/>
        </w:tabs>
        <w:ind w:left="2070" w:hanging="360"/>
      </w:pPr>
      <w:rPr>
        <w:rFonts w:ascii="Courier New" w:hAnsi="Courier New" w:hint="default"/>
      </w:rPr>
    </w:lvl>
    <w:lvl w:ilvl="2" w:tplc="04130005" w:tentative="1">
      <w:start w:val="1"/>
      <w:numFmt w:val="bullet"/>
      <w:lvlText w:val=""/>
      <w:lvlJc w:val="left"/>
      <w:pPr>
        <w:tabs>
          <w:tab w:val="num" w:pos="2790"/>
        </w:tabs>
        <w:ind w:left="2790" w:hanging="360"/>
      </w:pPr>
      <w:rPr>
        <w:rFonts w:ascii="Wingdings" w:hAnsi="Wingdings" w:hint="default"/>
      </w:rPr>
    </w:lvl>
    <w:lvl w:ilvl="3" w:tplc="04130001" w:tentative="1">
      <w:start w:val="1"/>
      <w:numFmt w:val="bullet"/>
      <w:lvlText w:val=""/>
      <w:lvlJc w:val="left"/>
      <w:pPr>
        <w:tabs>
          <w:tab w:val="num" w:pos="3510"/>
        </w:tabs>
        <w:ind w:left="3510" w:hanging="360"/>
      </w:pPr>
      <w:rPr>
        <w:rFonts w:ascii="Symbol" w:hAnsi="Symbol" w:hint="default"/>
      </w:rPr>
    </w:lvl>
    <w:lvl w:ilvl="4" w:tplc="04130003" w:tentative="1">
      <w:start w:val="1"/>
      <w:numFmt w:val="bullet"/>
      <w:lvlText w:val="o"/>
      <w:lvlJc w:val="left"/>
      <w:pPr>
        <w:tabs>
          <w:tab w:val="num" w:pos="4230"/>
        </w:tabs>
        <w:ind w:left="4230" w:hanging="360"/>
      </w:pPr>
      <w:rPr>
        <w:rFonts w:ascii="Courier New" w:hAnsi="Courier New" w:hint="default"/>
      </w:rPr>
    </w:lvl>
    <w:lvl w:ilvl="5" w:tplc="04130005" w:tentative="1">
      <w:start w:val="1"/>
      <w:numFmt w:val="bullet"/>
      <w:lvlText w:val=""/>
      <w:lvlJc w:val="left"/>
      <w:pPr>
        <w:tabs>
          <w:tab w:val="num" w:pos="4950"/>
        </w:tabs>
        <w:ind w:left="4950" w:hanging="360"/>
      </w:pPr>
      <w:rPr>
        <w:rFonts w:ascii="Wingdings" w:hAnsi="Wingdings" w:hint="default"/>
      </w:rPr>
    </w:lvl>
    <w:lvl w:ilvl="6" w:tplc="04130001" w:tentative="1">
      <w:start w:val="1"/>
      <w:numFmt w:val="bullet"/>
      <w:lvlText w:val=""/>
      <w:lvlJc w:val="left"/>
      <w:pPr>
        <w:tabs>
          <w:tab w:val="num" w:pos="5670"/>
        </w:tabs>
        <w:ind w:left="5670" w:hanging="360"/>
      </w:pPr>
      <w:rPr>
        <w:rFonts w:ascii="Symbol" w:hAnsi="Symbol" w:hint="default"/>
      </w:rPr>
    </w:lvl>
    <w:lvl w:ilvl="7" w:tplc="04130003" w:tentative="1">
      <w:start w:val="1"/>
      <w:numFmt w:val="bullet"/>
      <w:lvlText w:val="o"/>
      <w:lvlJc w:val="left"/>
      <w:pPr>
        <w:tabs>
          <w:tab w:val="num" w:pos="6390"/>
        </w:tabs>
        <w:ind w:left="6390" w:hanging="360"/>
      </w:pPr>
      <w:rPr>
        <w:rFonts w:ascii="Courier New" w:hAnsi="Courier New" w:hint="default"/>
      </w:rPr>
    </w:lvl>
    <w:lvl w:ilvl="8" w:tplc="04130005" w:tentative="1">
      <w:start w:val="1"/>
      <w:numFmt w:val="bullet"/>
      <w:lvlText w:val=""/>
      <w:lvlJc w:val="left"/>
      <w:pPr>
        <w:tabs>
          <w:tab w:val="num" w:pos="7110"/>
        </w:tabs>
        <w:ind w:left="7110" w:hanging="360"/>
      </w:pPr>
      <w:rPr>
        <w:rFonts w:ascii="Wingdings" w:hAnsi="Wingdings" w:hint="default"/>
      </w:rPr>
    </w:lvl>
  </w:abstractNum>
  <w:abstractNum w:abstractNumId="10">
    <w:nsid w:val="3DF63648"/>
    <w:multiLevelType w:val="hybridMultilevel"/>
    <w:tmpl w:val="90685990"/>
    <w:lvl w:ilvl="0" w:tplc="F774C29C">
      <w:start w:val="3"/>
      <w:numFmt w:val="decimal"/>
      <w:lvlText w:val="%1."/>
      <w:lvlJc w:val="left"/>
      <w:pPr>
        <w:ind w:left="1080" w:hanging="360"/>
      </w:pPr>
      <w:rPr>
        <w:rFonts w:cs="Times New Roman"/>
      </w:rPr>
    </w:lvl>
    <w:lvl w:ilvl="1" w:tplc="08130019">
      <w:start w:val="1"/>
      <w:numFmt w:val="lowerLetter"/>
      <w:lvlText w:val="%2."/>
      <w:lvlJc w:val="left"/>
      <w:pPr>
        <w:ind w:left="1800" w:hanging="360"/>
      </w:pPr>
      <w:rPr>
        <w:rFonts w:cs="Times New Roman"/>
      </w:rPr>
    </w:lvl>
    <w:lvl w:ilvl="2" w:tplc="0813001B">
      <w:start w:val="1"/>
      <w:numFmt w:val="lowerRoman"/>
      <w:lvlText w:val="%3."/>
      <w:lvlJc w:val="right"/>
      <w:pPr>
        <w:ind w:left="2520" w:hanging="180"/>
      </w:pPr>
      <w:rPr>
        <w:rFonts w:cs="Times New Roman"/>
      </w:rPr>
    </w:lvl>
    <w:lvl w:ilvl="3" w:tplc="0813000F">
      <w:start w:val="1"/>
      <w:numFmt w:val="decimal"/>
      <w:lvlText w:val="%4."/>
      <w:lvlJc w:val="left"/>
      <w:pPr>
        <w:ind w:left="3240" w:hanging="360"/>
      </w:pPr>
      <w:rPr>
        <w:rFonts w:cs="Times New Roman"/>
      </w:rPr>
    </w:lvl>
    <w:lvl w:ilvl="4" w:tplc="08130019">
      <w:start w:val="1"/>
      <w:numFmt w:val="lowerLetter"/>
      <w:lvlText w:val="%5."/>
      <w:lvlJc w:val="left"/>
      <w:pPr>
        <w:ind w:left="3960" w:hanging="360"/>
      </w:pPr>
      <w:rPr>
        <w:rFonts w:cs="Times New Roman"/>
      </w:rPr>
    </w:lvl>
    <w:lvl w:ilvl="5" w:tplc="0813001B">
      <w:start w:val="1"/>
      <w:numFmt w:val="lowerRoman"/>
      <w:lvlText w:val="%6."/>
      <w:lvlJc w:val="right"/>
      <w:pPr>
        <w:ind w:left="4680" w:hanging="180"/>
      </w:pPr>
      <w:rPr>
        <w:rFonts w:cs="Times New Roman"/>
      </w:rPr>
    </w:lvl>
    <w:lvl w:ilvl="6" w:tplc="0813000F">
      <w:start w:val="1"/>
      <w:numFmt w:val="decimal"/>
      <w:lvlText w:val="%7."/>
      <w:lvlJc w:val="left"/>
      <w:pPr>
        <w:ind w:left="5400" w:hanging="360"/>
      </w:pPr>
      <w:rPr>
        <w:rFonts w:cs="Times New Roman"/>
      </w:rPr>
    </w:lvl>
    <w:lvl w:ilvl="7" w:tplc="08130019">
      <w:start w:val="1"/>
      <w:numFmt w:val="lowerLetter"/>
      <w:lvlText w:val="%8."/>
      <w:lvlJc w:val="left"/>
      <w:pPr>
        <w:ind w:left="6120" w:hanging="360"/>
      </w:pPr>
      <w:rPr>
        <w:rFonts w:cs="Times New Roman"/>
      </w:rPr>
    </w:lvl>
    <w:lvl w:ilvl="8" w:tplc="0813001B">
      <w:start w:val="1"/>
      <w:numFmt w:val="lowerRoman"/>
      <w:lvlText w:val="%9."/>
      <w:lvlJc w:val="right"/>
      <w:pPr>
        <w:ind w:left="6840" w:hanging="180"/>
      </w:pPr>
      <w:rPr>
        <w:rFonts w:cs="Times New Roman"/>
      </w:rPr>
    </w:lvl>
  </w:abstractNum>
  <w:abstractNum w:abstractNumId="11">
    <w:nsid w:val="4E461516"/>
    <w:multiLevelType w:val="hybridMultilevel"/>
    <w:tmpl w:val="68E803D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81A2621"/>
    <w:multiLevelType w:val="hybridMultilevel"/>
    <w:tmpl w:val="D5500D98"/>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3">
    <w:nsid w:val="59DB018B"/>
    <w:multiLevelType w:val="hybridMultilevel"/>
    <w:tmpl w:val="A77A70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65361612"/>
    <w:multiLevelType w:val="hybridMultilevel"/>
    <w:tmpl w:val="DD56B05C"/>
    <w:lvl w:ilvl="0" w:tplc="560EBC30">
      <w:numFmt w:val="bullet"/>
      <w:lvlText w:val="-"/>
      <w:lvlJc w:val="left"/>
      <w:pPr>
        <w:ind w:left="360" w:hanging="360"/>
      </w:pPr>
      <w:rPr>
        <w:rFonts w:ascii="Calibri" w:eastAsia="Times New Roman" w:hAnsi="Calibri"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67310291"/>
    <w:multiLevelType w:val="multilevel"/>
    <w:tmpl w:val="4CD4DBC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693D0F7C"/>
    <w:multiLevelType w:val="hybridMultilevel"/>
    <w:tmpl w:val="80F6C0B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7">
    <w:nsid w:val="6AA87FF6"/>
    <w:multiLevelType w:val="hybridMultilevel"/>
    <w:tmpl w:val="B9962EE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8">
    <w:nsid w:val="6CDF7262"/>
    <w:multiLevelType w:val="hybridMultilevel"/>
    <w:tmpl w:val="E7821FAA"/>
    <w:lvl w:ilvl="0" w:tplc="0813000F">
      <w:start w:val="1"/>
      <w:numFmt w:val="decimal"/>
      <w:lvlText w:val="%1."/>
      <w:lvlJc w:val="left"/>
      <w:pPr>
        <w:ind w:left="720" w:hanging="360"/>
      </w:pPr>
      <w:rPr>
        <w:rFonts w:cs="Times New Roman"/>
      </w:rPr>
    </w:lvl>
    <w:lvl w:ilvl="1" w:tplc="08130019">
      <w:start w:val="1"/>
      <w:numFmt w:val="lowerLetter"/>
      <w:lvlText w:val="%2."/>
      <w:lvlJc w:val="left"/>
      <w:pPr>
        <w:ind w:left="1440" w:hanging="360"/>
      </w:pPr>
      <w:rPr>
        <w:rFonts w:cs="Times New Roman"/>
      </w:rPr>
    </w:lvl>
    <w:lvl w:ilvl="2" w:tplc="0813001B">
      <w:start w:val="1"/>
      <w:numFmt w:val="lowerRoman"/>
      <w:lvlText w:val="%3."/>
      <w:lvlJc w:val="right"/>
      <w:pPr>
        <w:ind w:left="2160" w:hanging="180"/>
      </w:pPr>
      <w:rPr>
        <w:rFonts w:cs="Times New Roman"/>
      </w:rPr>
    </w:lvl>
    <w:lvl w:ilvl="3" w:tplc="0813000F">
      <w:start w:val="1"/>
      <w:numFmt w:val="decimal"/>
      <w:lvlText w:val="%4."/>
      <w:lvlJc w:val="left"/>
      <w:pPr>
        <w:ind w:left="2880" w:hanging="360"/>
      </w:pPr>
      <w:rPr>
        <w:rFonts w:cs="Times New Roman"/>
      </w:rPr>
    </w:lvl>
    <w:lvl w:ilvl="4" w:tplc="08130019">
      <w:start w:val="1"/>
      <w:numFmt w:val="lowerLetter"/>
      <w:lvlText w:val="%5."/>
      <w:lvlJc w:val="left"/>
      <w:pPr>
        <w:ind w:left="3600" w:hanging="360"/>
      </w:pPr>
      <w:rPr>
        <w:rFonts w:cs="Times New Roman"/>
      </w:rPr>
    </w:lvl>
    <w:lvl w:ilvl="5" w:tplc="0813001B">
      <w:start w:val="1"/>
      <w:numFmt w:val="lowerRoman"/>
      <w:lvlText w:val="%6."/>
      <w:lvlJc w:val="right"/>
      <w:pPr>
        <w:ind w:left="4320" w:hanging="180"/>
      </w:pPr>
      <w:rPr>
        <w:rFonts w:cs="Times New Roman"/>
      </w:rPr>
    </w:lvl>
    <w:lvl w:ilvl="6" w:tplc="0813000F">
      <w:start w:val="1"/>
      <w:numFmt w:val="decimal"/>
      <w:lvlText w:val="%7."/>
      <w:lvlJc w:val="left"/>
      <w:pPr>
        <w:ind w:left="5040" w:hanging="360"/>
      </w:pPr>
      <w:rPr>
        <w:rFonts w:cs="Times New Roman"/>
      </w:rPr>
    </w:lvl>
    <w:lvl w:ilvl="7" w:tplc="08130019">
      <w:start w:val="1"/>
      <w:numFmt w:val="lowerLetter"/>
      <w:lvlText w:val="%8."/>
      <w:lvlJc w:val="left"/>
      <w:pPr>
        <w:ind w:left="5760" w:hanging="360"/>
      </w:pPr>
      <w:rPr>
        <w:rFonts w:cs="Times New Roman"/>
      </w:rPr>
    </w:lvl>
    <w:lvl w:ilvl="8" w:tplc="0813001B">
      <w:start w:val="1"/>
      <w:numFmt w:val="lowerRoman"/>
      <w:lvlText w:val="%9."/>
      <w:lvlJc w:val="right"/>
      <w:pPr>
        <w:ind w:left="6480" w:hanging="180"/>
      </w:pPr>
      <w:rPr>
        <w:rFonts w:cs="Times New Roman"/>
      </w:rPr>
    </w:lvl>
  </w:abstractNum>
  <w:abstractNum w:abstractNumId="19">
    <w:nsid w:val="770A1767"/>
    <w:multiLevelType w:val="hybridMultilevel"/>
    <w:tmpl w:val="C526D4F8"/>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0">
    <w:nsid w:val="77D045E6"/>
    <w:multiLevelType w:val="hybridMultilevel"/>
    <w:tmpl w:val="8DD495F0"/>
    <w:lvl w:ilvl="0" w:tplc="EF2C2926">
      <w:numFmt w:val="bullet"/>
      <w:lvlText w:val="-"/>
      <w:lvlJc w:val="left"/>
      <w:pPr>
        <w:tabs>
          <w:tab w:val="num" w:pos="927"/>
        </w:tabs>
        <w:ind w:left="927" w:hanging="360"/>
      </w:pPr>
      <w:rPr>
        <w:rFonts w:ascii="Arial" w:eastAsia="Times New Roman" w:hAnsi="Arial" w:hint="default"/>
      </w:rPr>
    </w:lvl>
    <w:lvl w:ilvl="1" w:tplc="04130003" w:tentative="1">
      <w:start w:val="1"/>
      <w:numFmt w:val="bullet"/>
      <w:lvlText w:val="o"/>
      <w:lvlJc w:val="left"/>
      <w:pPr>
        <w:tabs>
          <w:tab w:val="num" w:pos="2214"/>
        </w:tabs>
        <w:ind w:left="2214" w:hanging="360"/>
      </w:pPr>
      <w:rPr>
        <w:rFonts w:ascii="Courier New" w:hAnsi="Courier New" w:hint="default"/>
      </w:rPr>
    </w:lvl>
    <w:lvl w:ilvl="2" w:tplc="04130005" w:tentative="1">
      <w:start w:val="1"/>
      <w:numFmt w:val="bullet"/>
      <w:lvlText w:val=""/>
      <w:lvlJc w:val="left"/>
      <w:pPr>
        <w:tabs>
          <w:tab w:val="num" w:pos="2934"/>
        </w:tabs>
        <w:ind w:left="2934" w:hanging="360"/>
      </w:pPr>
      <w:rPr>
        <w:rFonts w:ascii="Wingdings" w:hAnsi="Wingdings" w:hint="default"/>
      </w:rPr>
    </w:lvl>
    <w:lvl w:ilvl="3" w:tplc="04130001" w:tentative="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21">
    <w:nsid w:val="791D1D76"/>
    <w:multiLevelType w:val="hybridMultilevel"/>
    <w:tmpl w:val="D5FCA418"/>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22">
    <w:nsid w:val="7B891493"/>
    <w:multiLevelType w:val="hybridMultilevel"/>
    <w:tmpl w:val="88A0F902"/>
    <w:lvl w:ilvl="0" w:tplc="560EBC30">
      <w:numFmt w:val="bullet"/>
      <w:lvlText w:val="-"/>
      <w:lvlJc w:val="left"/>
      <w:pPr>
        <w:ind w:left="360" w:hanging="360"/>
      </w:pPr>
      <w:rPr>
        <w:rFonts w:ascii="Calibri" w:eastAsia="Times New Roman" w:hAnsi="Calibri" w:hint="default"/>
      </w:rPr>
    </w:lvl>
    <w:lvl w:ilvl="1" w:tplc="08130003">
      <w:start w:val="1"/>
      <w:numFmt w:val="bullet"/>
      <w:lvlText w:val="o"/>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nsid w:val="7F332EA8"/>
    <w:multiLevelType w:val="hybridMultilevel"/>
    <w:tmpl w:val="326CC1CA"/>
    <w:lvl w:ilvl="0" w:tplc="C2D26B8E">
      <w:numFmt w:val="bullet"/>
      <w:lvlText w:val=""/>
      <w:lvlJc w:val="left"/>
      <w:pPr>
        <w:tabs>
          <w:tab w:val="num" w:pos="1287"/>
        </w:tabs>
        <w:ind w:left="1287" w:hanging="360"/>
      </w:pPr>
      <w:rPr>
        <w:rFonts w:ascii="Symbol" w:eastAsia="Times New Roman" w:hAnsi="Symbol" w:hint="default"/>
      </w:rPr>
    </w:lvl>
    <w:lvl w:ilvl="1" w:tplc="04130003" w:tentative="1">
      <w:start w:val="1"/>
      <w:numFmt w:val="bullet"/>
      <w:lvlText w:val="o"/>
      <w:lvlJc w:val="left"/>
      <w:pPr>
        <w:tabs>
          <w:tab w:val="num" w:pos="2007"/>
        </w:tabs>
        <w:ind w:left="2007" w:hanging="360"/>
      </w:pPr>
      <w:rPr>
        <w:rFonts w:ascii="Courier New" w:hAnsi="Courier New" w:hint="default"/>
      </w:rPr>
    </w:lvl>
    <w:lvl w:ilvl="2" w:tplc="04130005" w:tentative="1">
      <w:start w:val="1"/>
      <w:numFmt w:val="bullet"/>
      <w:lvlText w:val=""/>
      <w:lvlJc w:val="left"/>
      <w:pPr>
        <w:tabs>
          <w:tab w:val="num" w:pos="2727"/>
        </w:tabs>
        <w:ind w:left="2727" w:hanging="360"/>
      </w:pPr>
      <w:rPr>
        <w:rFonts w:ascii="Wingdings" w:hAnsi="Wingdings" w:hint="default"/>
      </w:rPr>
    </w:lvl>
    <w:lvl w:ilvl="3" w:tplc="04130001" w:tentative="1">
      <w:start w:val="1"/>
      <w:numFmt w:val="bullet"/>
      <w:lvlText w:val=""/>
      <w:lvlJc w:val="left"/>
      <w:pPr>
        <w:tabs>
          <w:tab w:val="num" w:pos="3447"/>
        </w:tabs>
        <w:ind w:left="3447" w:hanging="360"/>
      </w:pPr>
      <w:rPr>
        <w:rFonts w:ascii="Symbol" w:hAnsi="Symbol" w:hint="default"/>
      </w:rPr>
    </w:lvl>
    <w:lvl w:ilvl="4" w:tplc="04130003" w:tentative="1">
      <w:start w:val="1"/>
      <w:numFmt w:val="bullet"/>
      <w:lvlText w:val="o"/>
      <w:lvlJc w:val="left"/>
      <w:pPr>
        <w:tabs>
          <w:tab w:val="num" w:pos="4167"/>
        </w:tabs>
        <w:ind w:left="4167" w:hanging="360"/>
      </w:pPr>
      <w:rPr>
        <w:rFonts w:ascii="Courier New" w:hAnsi="Courier New" w:hint="default"/>
      </w:rPr>
    </w:lvl>
    <w:lvl w:ilvl="5" w:tplc="04130005" w:tentative="1">
      <w:start w:val="1"/>
      <w:numFmt w:val="bullet"/>
      <w:lvlText w:val=""/>
      <w:lvlJc w:val="left"/>
      <w:pPr>
        <w:tabs>
          <w:tab w:val="num" w:pos="4887"/>
        </w:tabs>
        <w:ind w:left="4887" w:hanging="360"/>
      </w:pPr>
      <w:rPr>
        <w:rFonts w:ascii="Wingdings" w:hAnsi="Wingdings" w:hint="default"/>
      </w:rPr>
    </w:lvl>
    <w:lvl w:ilvl="6" w:tplc="04130001" w:tentative="1">
      <w:start w:val="1"/>
      <w:numFmt w:val="bullet"/>
      <w:lvlText w:val=""/>
      <w:lvlJc w:val="left"/>
      <w:pPr>
        <w:tabs>
          <w:tab w:val="num" w:pos="5607"/>
        </w:tabs>
        <w:ind w:left="5607" w:hanging="360"/>
      </w:pPr>
      <w:rPr>
        <w:rFonts w:ascii="Symbol" w:hAnsi="Symbol" w:hint="default"/>
      </w:rPr>
    </w:lvl>
    <w:lvl w:ilvl="7" w:tplc="04130003" w:tentative="1">
      <w:start w:val="1"/>
      <w:numFmt w:val="bullet"/>
      <w:lvlText w:val="o"/>
      <w:lvlJc w:val="left"/>
      <w:pPr>
        <w:tabs>
          <w:tab w:val="num" w:pos="6327"/>
        </w:tabs>
        <w:ind w:left="6327" w:hanging="360"/>
      </w:pPr>
      <w:rPr>
        <w:rFonts w:ascii="Courier New" w:hAnsi="Courier New" w:hint="default"/>
      </w:rPr>
    </w:lvl>
    <w:lvl w:ilvl="8" w:tplc="04130005" w:tentative="1">
      <w:start w:val="1"/>
      <w:numFmt w:val="bullet"/>
      <w:lvlText w:val=""/>
      <w:lvlJc w:val="left"/>
      <w:pPr>
        <w:tabs>
          <w:tab w:val="num" w:pos="7047"/>
        </w:tabs>
        <w:ind w:left="7047" w:hanging="360"/>
      </w:pPr>
      <w:rPr>
        <w:rFonts w:ascii="Wingdings" w:hAnsi="Wingdings" w:hint="default"/>
      </w:rPr>
    </w:lvl>
  </w:abstractNum>
  <w:abstractNum w:abstractNumId="24">
    <w:nsid w:val="7F424941"/>
    <w:multiLevelType w:val="hybridMultilevel"/>
    <w:tmpl w:val="0C989026"/>
    <w:lvl w:ilvl="0" w:tplc="560EBC30">
      <w:numFmt w:val="bullet"/>
      <w:lvlText w:val="-"/>
      <w:lvlJc w:val="left"/>
      <w:pPr>
        <w:ind w:left="360" w:hanging="360"/>
      </w:pPr>
      <w:rPr>
        <w:rFonts w:ascii="Calibri" w:eastAsia="Times New Roman" w:hAnsi="Calibri"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
  </w:num>
  <w:num w:numId="4">
    <w:abstractNumId w:val="21"/>
  </w:num>
  <w:num w:numId="5">
    <w:abstractNumId w:val="20"/>
  </w:num>
  <w:num w:numId="6">
    <w:abstractNumId w:val="6"/>
  </w:num>
  <w:num w:numId="7">
    <w:abstractNumId w:val="4"/>
  </w:num>
  <w:num w:numId="8">
    <w:abstractNumId w:val="5"/>
  </w:num>
  <w:num w:numId="9">
    <w:abstractNumId w:val="15"/>
  </w:num>
  <w:num w:numId="10">
    <w:abstractNumId w:val="23"/>
  </w:num>
  <w:num w:numId="11">
    <w:abstractNumId w:val="9"/>
  </w:num>
  <w:num w:numId="12">
    <w:abstractNumId w:val="2"/>
  </w:num>
  <w:num w:numId="13">
    <w:abstractNumId w:val="12"/>
  </w:num>
  <w:num w:numId="14">
    <w:abstractNumId w:val="19"/>
  </w:num>
  <w:num w:numId="15">
    <w:abstractNumId w:val="16"/>
  </w:num>
  <w:num w:numId="16">
    <w:abstractNumId w:val="17"/>
  </w:num>
  <w:num w:numId="17">
    <w:abstractNumId w:val="8"/>
  </w:num>
  <w:num w:numId="18">
    <w:abstractNumId w:val="3"/>
  </w:num>
  <w:num w:numId="19">
    <w:abstractNumId w:val="22"/>
  </w:num>
  <w:num w:numId="20">
    <w:abstractNumId w:val="24"/>
  </w:num>
  <w:num w:numId="21">
    <w:abstractNumId w:val="14"/>
  </w:num>
  <w:num w:numId="2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3F01"/>
  <w:defaultTabStop w:val="708"/>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437A"/>
    <w:rsid w:val="0001532B"/>
    <w:rsid w:val="000238AC"/>
    <w:rsid w:val="000253E6"/>
    <w:rsid w:val="000538F6"/>
    <w:rsid w:val="00067AB2"/>
    <w:rsid w:val="0009087A"/>
    <w:rsid w:val="000A4587"/>
    <w:rsid w:val="000A47CF"/>
    <w:rsid w:val="000C35B5"/>
    <w:rsid w:val="000C3919"/>
    <w:rsid w:val="000C6C96"/>
    <w:rsid w:val="000C75E6"/>
    <w:rsid w:val="000F4881"/>
    <w:rsid w:val="000F625E"/>
    <w:rsid w:val="00107A55"/>
    <w:rsid w:val="0012187E"/>
    <w:rsid w:val="0013001F"/>
    <w:rsid w:val="001470AE"/>
    <w:rsid w:val="00150742"/>
    <w:rsid w:val="0015437A"/>
    <w:rsid w:val="00157688"/>
    <w:rsid w:val="00162875"/>
    <w:rsid w:val="00162D33"/>
    <w:rsid w:val="00163999"/>
    <w:rsid w:val="00165F10"/>
    <w:rsid w:val="00174D8C"/>
    <w:rsid w:val="001D5261"/>
    <w:rsid w:val="00201EDC"/>
    <w:rsid w:val="0021608F"/>
    <w:rsid w:val="00227771"/>
    <w:rsid w:val="00262E17"/>
    <w:rsid w:val="00267B85"/>
    <w:rsid w:val="002A12B1"/>
    <w:rsid w:val="002C49E2"/>
    <w:rsid w:val="002D1F98"/>
    <w:rsid w:val="0030369D"/>
    <w:rsid w:val="003208F7"/>
    <w:rsid w:val="003452A3"/>
    <w:rsid w:val="00350E7A"/>
    <w:rsid w:val="0037211A"/>
    <w:rsid w:val="00402095"/>
    <w:rsid w:val="004073A7"/>
    <w:rsid w:val="0042078C"/>
    <w:rsid w:val="00423D6C"/>
    <w:rsid w:val="00434176"/>
    <w:rsid w:val="004779E9"/>
    <w:rsid w:val="00485A66"/>
    <w:rsid w:val="004911F5"/>
    <w:rsid w:val="0049370A"/>
    <w:rsid w:val="00495C0B"/>
    <w:rsid w:val="00497A67"/>
    <w:rsid w:val="004B6ABF"/>
    <w:rsid w:val="004F18A0"/>
    <w:rsid w:val="004F6901"/>
    <w:rsid w:val="004F71B7"/>
    <w:rsid w:val="00504F10"/>
    <w:rsid w:val="00507152"/>
    <w:rsid w:val="00530AF0"/>
    <w:rsid w:val="005365E6"/>
    <w:rsid w:val="00563D16"/>
    <w:rsid w:val="00564BB4"/>
    <w:rsid w:val="0059162D"/>
    <w:rsid w:val="005E3FFE"/>
    <w:rsid w:val="005E5540"/>
    <w:rsid w:val="005F58C1"/>
    <w:rsid w:val="00625A3D"/>
    <w:rsid w:val="006415FD"/>
    <w:rsid w:val="00670ED2"/>
    <w:rsid w:val="006770FF"/>
    <w:rsid w:val="006928A4"/>
    <w:rsid w:val="006B5BB0"/>
    <w:rsid w:val="006F3DE4"/>
    <w:rsid w:val="007713CD"/>
    <w:rsid w:val="00775AD3"/>
    <w:rsid w:val="0078726B"/>
    <w:rsid w:val="00793F8F"/>
    <w:rsid w:val="007B73EF"/>
    <w:rsid w:val="007D0352"/>
    <w:rsid w:val="007D7FF7"/>
    <w:rsid w:val="007F63E9"/>
    <w:rsid w:val="00800523"/>
    <w:rsid w:val="00813345"/>
    <w:rsid w:val="008348FB"/>
    <w:rsid w:val="00844563"/>
    <w:rsid w:val="0085011A"/>
    <w:rsid w:val="00853D98"/>
    <w:rsid w:val="00887F0D"/>
    <w:rsid w:val="00891597"/>
    <w:rsid w:val="008B2EFA"/>
    <w:rsid w:val="008B3C07"/>
    <w:rsid w:val="008D7000"/>
    <w:rsid w:val="008E1AA8"/>
    <w:rsid w:val="00944F1C"/>
    <w:rsid w:val="009C2078"/>
    <w:rsid w:val="009E06F9"/>
    <w:rsid w:val="009E0DC2"/>
    <w:rsid w:val="009E6F1D"/>
    <w:rsid w:val="00A0522F"/>
    <w:rsid w:val="00A07941"/>
    <w:rsid w:val="00A11C5E"/>
    <w:rsid w:val="00A279C7"/>
    <w:rsid w:val="00A469F3"/>
    <w:rsid w:val="00A475FC"/>
    <w:rsid w:val="00A64705"/>
    <w:rsid w:val="00A755AE"/>
    <w:rsid w:val="00A856FC"/>
    <w:rsid w:val="00A92923"/>
    <w:rsid w:val="00B22426"/>
    <w:rsid w:val="00B7797B"/>
    <w:rsid w:val="00B77D7C"/>
    <w:rsid w:val="00BA52C7"/>
    <w:rsid w:val="00BC2ED8"/>
    <w:rsid w:val="00C40AFA"/>
    <w:rsid w:val="00C44DC9"/>
    <w:rsid w:val="00C47951"/>
    <w:rsid w:val="00C53AE0"/>
    <w:rsid w:val="00C66D00"/>
    <w:rsid w:val="00C9017E"/>
    <w:rsid w:val="00CB3C9C"/>
    <w:rsid w:val="00CC2A7B"/>
    <w:rsid w:val="00CE1908"/>
    <w:rsid w:val="00D20451"/>
    <w:rsid w:val="00D336BF"/>
    <w:rsid w:val="00D46E99"/>
    <w:rsid w:val="00D55261"/>
    <w:rsid w:val="00D576B3"/>
    <w:rsid w:val="00DA614E"/>
    <w:rsid w:val="00DD3A9A"/>
    <w:rsid w:val="00DD6929"/>
    <w:rsid w:val="00DD7147"/>
    <w:rsid w:val="00DE7F60"/>
    <w:rsid w:val="00E04799"/>
    <w:rsid w:val="00E17C71"/>
    <w:rsid w:val="00E17F27"/>
    <w:rsid w:val="00E45FAF"/>
    <w:rsid w:val="00E62046"/>
    <w:rsid w:val="00E64F3A"/>
    <w:rsid w:val="00E71000"/>
    <w:rsid w:val="00E82064"/>
    <w:rsid w:val="00EB1289"/>
    <w:rsid w:val="00EE51C4"/>
    <w:rsid w:val="00EE74D4"/>
    <w:rsid w:val="00F01064"/>
    <w:rsid w:val="00F024A3"/>
    <w:rsid w:val="00F2550A"/>
    <w:rsid w:val="00F834CF"/>
    <w:rsid w:val="00F870F3"/>
    <w:rsid w:val="00FA53B9"/>
    <w:rsid w:val="00FB0D51"/>
    <w:rsid w:val="00FD4D93"/>
    <w:rsid w:val="00FF44DA"/>
  </w:rsids>
  <m:mathPr>
    <m:mathFont m:val="Cambria Math"/>
    <m:brkBin m:val="before"/>
    <m:brkBinSub m:val="--"/>
    <m:smallFrac m:val="off"/>
    <m:dispDef/>
    <m:lMargin m:val="0"/>
    <m:rMargin m:val="0"/>
    <m:defJc m:val="centerGroup"/>
    <m:wrapIndent m:val="1440"/>
    <m:intLim m:val="subSup"/>
    <m:naryLim m:val="undOvr"/>
  </m:mathPr>
  <w:uiCompat97To2003/>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BE" w:eastAsia="nl-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BB4"/>
    <w:rPr>
      <w:sz w:val="24"/>
      <w:szCs w:val="24"/>
      <w:lang w:val="nl-NL" w:eastAsia="nl-NL"/>
    </w:rPr>
  </w:style>
  <w:style w:type="paragraph" w:styleId="Heading1">
    <w:name w:val="heading 1"/>
    <w:basedOn w:val="Normal"/>
    <w:next w:val="Normal"/>
    <w:link w:val="Heading1Char"/>
    <w:uiPriority w:val="99"/>
    <w:qFormat/>
    <w:rsid w:val="0015437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E45FAF"/>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F625E"/>
    <w:rPr>
      <w:rFonts w:ascii="Arial" w:hAnsi="Arial"/>
      <w:b/>
      <w:kern w:val="32"/>
      <w:sz w:val="32"/>
      <w:lang w:val="nl-NL" w:eastAsia="nl-NL"/>
    </w:rPr>
  </w:style>
  <w:style w:type="character" w:customStyle="1" w:styleId="Heading2Char">
    <w:name w:val="Heading 2 Char"/>
    <w:basedOn w:val="DefaultParagraphFont"/>
    <w:link w:val="Heading2"/>
    <w:uiPriority w:val="9"/>
    <w:semiHidden/>
    <w:rsid w:val="008E73E7"/>
    <w:rPr>
      <w:rFonts w:asciiTheme="majorHAnsi" w:eastAsiaTheme="majorEastAsia" w:hAnsiTheme="majorHAnsi" w:cstheme="majorBidi"/>
      <w:b/>
      <w:bCs/>
      <w:i/>
      <w:iCs/>
      <w:sz w:val="28"/>
      <w:szCs w:val="28"/>
      <w:lang w:val="nl-NL" w:eastAsia="nl-NL"/>
    </w:rPr>
  </w:style>
  <w:style w:type="table" w:styleId="TableGrid">
    <w:name w:val="Table Grid"/>
    <w:basedOn w:val="TableNormal"/>
    <w:uiPriority w:val="99"/>
    <w:rsid w:val="0015437A"/>
    <w:pPr>
      <w:spacing w:before="120" w:after="6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0C3919"/>
    <w:pPr>
      <w:spacing w:before="120" w:after="60"/>
      <w:ind w:left="360"/>
    </w:pPr>
    <w:rPr>
      <w:rFonts w:ascii="Arial" w:hAnsi="Arial" w:cs="Arial"/>
      <w:bCs/>
      <w:noProof/>
      <w:sz w:val="20"/>
      <w:szCs w:val="20"/>
    </w:rPr>
  </w:style>
  <w:style w:type="character" w:customStyle="1" w:styleId="FootnoteTextChar">
    <w:name w:val="Footnote Text Char"/>
    <w:basedOn w:val="DefaultParagraphFont"/>
    <w:link w:val="FootnoteText"/>
    <w:uiPriority w:val="99"/>
    <w:semiHidden/>
    <w:rsid w:val="008E73E7"/>
    <w:rPr>
      <w:sz w:val="20"/>
      <w:szCs w:val="20"/>
      <w:lang w:val="nl-NL" w:eastAsia="nl-NL"/>
    </w:rPr>
  </w:style>
  <w:style w:type="character" w:styleId="FootnoteReference">
    <w:name w:val="footnote reference"/>
    <w:basedOn w:val="DefaultParagraphFont"/>
    <w:uiPriority w:val="99"/>
    <w:semiHidden/>
    <w:rsid w:val="000C3919"/>
    <w:rPr>
      <w:rFonts w:cs="Times New Roman"/>
      <w:vertAlign w:val="superscript"/>
    </w:rPr>
  </w:style>
  <w:style w:type="paragraph" w:styleId="BalloonText">
    <w:name w:val="Balloon Text"/>
    <w:basedOn w:val="Normal"/>
    <w:link w:val="BalloonTextChar"/>
    <w:uiPriority w:val="99"/>
    <w:semiHidden/>
    <w:rsid w:val="00C53AE0"/>
    <w:rPr>
      <w:rFonts w:ascii="Tahoma" w:hAnsi="Tahoma" w:cs="Tahoma"/>
      <w:sz w:val="16"/>
      <w:szCs w:val="16"/>
    </w:rPr>
  </w:style>
  <w:style w:type="character" w:customStyle="1" w:styleId="BalloonTextChar">
    <w:name w:val="Balloon Text Char"/>
    <w:basedOn w:val="DefaultParagraphFont"/>
    <w:link w:val="BalloonText"/>
    <w:uiPriority w:val="99"/>
    <w:semiHidden/>
    <w:rsid w:val="008E73E7"/>
    <w:rPr>
      <w:sz w:val="0"/>
      <w:szCs w:val="0"/>
      <w:lang w:val="nl-NL" w:eastAsia="nl-NL"/>
    </w:rPr>
  </w:style>
  <w:style w:type="character" w:styleId="CommentReference">
    <w:name w:val="annotation reference"/>
    <w:basedOn w:val="DefaultParagraphFont"/>
    <w:uiPriority w:val="99"/>
    <w:semiHidden/>
    <w:rsid w:val="00C53AE0"/>
    <w:rPr>
      <w:rFonts w:cs="Times New Roman"/>
      <w:sz w:val="16"/>
    </w:rPr>
  </w:style>
  <w:style w:type="paragraph" w:styleId="CommentText">
    <w:name w:val="annotation text"/>
    <w:basedOn w:val="Normal"/>
    <w:link w:val="CommentTextChar"/>
    <w:uiPriority w:val="99"/>
    <w:semiHidden/>
    <w:rsid w:val="00C53AE0"/>
    <w:rPr>
      <w:sz w:val="20"/>
      <w:szCs w:val="20"/>
    </w:rPr>
  </w:style>
  <w:style w:type="character" w:customStyle="1" w:styleId="CommentTextChar">
    <w:name w:val="Comment Text Char"/>
    <w:basedOn w:val="DefaultParagraphFont"/>
    <w:link w:val="CommentText"/>
    <w:uiPriority w:val="99"/>
    <w:semiHidden/>
    <w:rsid w:val="008E73E7"/>
    <w:rPr>
      <w:sz w:val="20"/>
      <w:szCs w:val="20"/>
      <w:lang w:val="nl-NL" w:eastAsia="nl-NL"/>
    </w:rPr>
  </w:style>
  <w:style w:type="paragraph" w:styleId="CommentSubject">
    <w:name w:val="annotation subject"/>
    <w:basedOn w:val="CommentText"/>
    <w:next w:val="CommentText"/>
    <w:link w:val="CommentSubjectChar"/>
    <w:uiPriority w:val="99"/>
    <w:semiHidden/>
    <w:rsid w:val="00C53AE0"/>
    <w:rPr>
      <w:b/>
      <w:bCs/>
    </w:rPr>
  </w:style>
  <w:style w:type="character" w:customStyle="1" w:styleId="CommentSubjectChar">
    <w:name w:val="Comment Subject Char"/>
    <w:basedOn w:val="CommentTextChar"/>
    <w:link w:val="CommentSubject"/>
    <w:uiPriority w:val="99"/>
    <w:semiHidden/>
    <w:rsid w:val="008E73E7"/>
    <w:rPr>
      <w:b/>
      <w:bCs/>
    </w:rPr>
  </w:style>
  <w:style w:type="paragraph" w:styleId="BodyText3">
    <w:name w:val="Body Text 3"/>
    <w:basedOn w:val="Normal"/>
    <w:link w:val="BodyText3Char"/>
    <w:uiPriority w:val="99"/>
    <w:rsid w:val="005F58C1"/>
    <w:pPr>
      <w:jc w:val="both"/>
    </w:pPr>
    <w:rPr>
      <w:rFonts w:ascii="Arial" w:hAnsi="Arial"/>
      <w:sz w:val="20"/>
      <w:szCs w:val="20"/>
      <w:lang w:val="nl-BE"/>
    </w:rPr>
  </w:style>
  <w:style w:type="character" w:customStyle="1" w:styleId="BodyText3Char">
    <w:name w:val="Body Text 3 Char"/>
    <w:basedOn w:val="DefaultParagraphFont"/>
    <w:link w:val="BodyText3"/>
    <w:uiPriority w:val="99"/>
    <w:semiHidden/>
    <w:rsid w:val="008E73E7"/>
    <w:rPr>
      <w:sz w:val="16"/>
      <w:szCs w:val="16"/>
      <w:lang w:val="nl-NL" w:eastAsia="nl-NL"/>
    </w:rPr>
  </w:style>
  <w:style w:type="paragraph" w:styleId="Header">
    <w:name w:val="header"/>
    <w:basedOn w:val="Normal"/>
    <w:link w:val="HeaderChar"/>
    <w:uiPriority w:val="99"/>
    <w:rsid w:val="004F18A0"/>
    <w:pPr>
      <w:tabs>
        <w:tab w:val="center" w:pos="4536"/>
        <w:tab w:val="right" w:pos="9072"/>
      </w:tabs>
    </w:pPr>
  </w:style>
  <w:style w:type="character" w:customStyle="1" w:styleId="HeaderChar">
    <w:name w:val="Header Char"/>
    <w:basedOn w:val="DefaultParagraphFont"/>
    <w:link w:val="Header"/>
    <w:uiPriority w:val="99"/>
    <w:locked/>
    <w:rsid w:val="00402095"/>
    <w:rPr>
      <w:sz w:val="24"/>
      <w:lang w:val="nl-NL" w:eastAsia="nl-NL"/>
    </w:rPr>
  </w:style>
  <w:style w:type="paragraph" w:styleId="Footer">
    <w:name w:val="footer"/>
    <w:basedOn w:val="Normal"/>
    <w:link w:val="FooterChar"/>
    <w:uiPriority w:val="99"/>
    <w:rsid w:val="004F18A0"/>
    <w:pPr>
      <w:tabs>
        <w:tab w:val="center" w:pos="4536"/>
        <w:tab w:val="right" w:pos="9072"/>
      </w:tabs>
    </w:pPr>
  </w:style>
  <w:style w:type="character" w:customStyle="1" w:styleId="FooterChar">
    <w:name w:val="Footer Char"/>
    <w:basedOn w:val="DefaultParagraphFont"/>
    <w:link w:val="Footer"/>
    <w:uiPriority w:val="99"/>
    <w:semiHidden/>
    <w:rsid w:val="008E73E7"/>
    <w:rPr>
      <w:sz w:val="24"/>
      <w:szCs w:val="24"/>
      <w:lang w:val="nl-NL" w:eastAsia="nl-NL"/>
    </w:rPr>
  </w:style>
  <w:style w:type="paragraph" w:customStyle="1" w:styleId="Default">
    <w:name w:val="Default"/>
    <w:uiPriority w:val="99"/>
    <w:rsid w:val="00DA614E"/>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7639136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1456</Words>
  <Characters>8008</Characters>
  <Application>Microsoft Office Outlook</Application>
  <DocSecurity>0</DocSecurity>
  <Lines>0</Lines>
  <Paragraphs>0</Paragraphs>
  <ScaleCrop>false</ScaleCrop>
  <Company>MVG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aan</dc:title>
  <dc:subject/>
  <dc:creator>Sam Alloing</dc:creator>
  <cp:keywords/>
  <dc:description/>
  <cp:lastModifiedBy>hollevlo</cp:lastModifiedBy>
  <cp:revision>2</cp:revision>
  <cp:lastPrinted>2012-07-02T14:53:00Z</cp:lastPrinted>
  <dcterms:created xsi:type="dcterms:W3CDTF">2012-07-12T09:50:00Z</dcterms:created>
  <dcterms:modified xsi:type="dcterms:W3CDTF">2012-07-12T09:50:00Z</dcterms:modified>
</cp:coreProperties>
</file>