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9" w:rsidRPr="00842677" w:rsidRDefault="00535B74" w:rsidP="00535B74">
      <w:pPr>
        <w:pStyle w:val="Kop1"/>
      </w:pPr>
      <w:r>
        <w:t xml:space="preserve">Voorstelling </w:t>
      </w:r>
      <w:r w:rsidR="00D30A69" w:rsidRPr="00720F3B">
        <w:t>methodiek risicoanalyse integriteit</w:t>
      </w:r>
    </w:p>
    <w:p w:rsidR="00D30A69" w:rsidRDefault="00D30A69" w:rsidP="00D30A69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5"/>
        <w:gridCol w:w="6913"/>
      </w:tblGrid>
      <w:tr w:rsidR="00D30A69" w:rsidTr="00076197">
        <w:tc>
          <w:tcPr>
            <w:tcW w:w="2375" w:type="dxa"/>
          </w:tcPr>
          <w:p w:rsidR="00D30A69" w:rsidRPr="00842677" w:rsidRDefault="00D30A69" w:rsidP="0007619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Titel en beknopte </w:t>
            </w:r>
            <w:r w:rsidRPr="00842677">
              <w:rPr>
                <w:b/>
                <w:color w:val="1F497D"/>
              </w:rPr>
              <w:t xml:space="preserve"> beschrijving van project/oefening </w:t>
            </w:r>
          </w:p>
        </w:tc>
        <w:tc>
          <w:tcPr>
            <w:tcW w:w="6913" w:type="dxa"/>
          </w:tcPr>
          <w:p w:rsidR="00D30A69" w:rsidRDefault="008732F3" w:rsidP="006C20E1">
            <w:r>
              <w:t xml:space="preserve">Integriteit – </w:t>
            </w:r>
            <w:r w:rsidR="00A3182D">
              <w:t xml:space="preserve">Beheersing v/d organisatierisico’s gerelateerd aan personen bij departement EWI’ </w:t>
            </w:r>
            <w:r w:rsidR="006C20E1">
              <w:t>incl. het beschermen van kwetsbare functies</w:t>
            </w:r>
            <w:r w:rsidR="00A3182D">
              <w:t xml:space="preserve"> </w:t>
            </w:r>
          </w:p>
        </w:tc>
      </w:tr>
      <w:tr w:rsidR="00D30A69" w:rsidTr="00076197">
        <w:tc>
          <w:tcPr>
            <w:tcW w:w="2375" w:type="dxa"/>
          </w:tcPr>
          <w:p w:rsidR="00D30A69" w:rsidRPr="00842677" w:rsidRDefault="00D30A69" w:rsidP="00076197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>gehanteerde methodologie</w:t>
            </w:r>
            <w:r>
              <w:rPr>
                <w:b/>
                <w:color w:val="1F497D"/>
              </w:rPr>
              <w:t xml:space="preserve"> </w:t>
            </w:r>
            <w:r w:rsidRPr="00842677">
              <w:rPr>
                <w:b/>
                <w:i/>
                <w:color w:val="1F497D"/>
                <w:sz w:val="18"/>
                <w:szCs w:val="18"/>
              </w:rPr>
              <w:t xml:space="preserve">(bv proces of functie-georiënteerd, gebaseerd op leidraad van IAVA, </w:t>
            </w:r>
            <w:proofErr w:type="spellStart"/>
            <w:r w:rsidRPr="00842677">
              <w:rPr>
                <w:b/>
                <w:i/>
                <w:color w:val="1F497D"/>
                <w:sz w:val="18"/>
                <w:szCs w:val="18"/>
              </w:rPr>
              <w:t>ahv</w:t>
            </w:r>
            <w:proofErr w:type="spellEnd"/>
            <w:r w:rsidRPr="00842677">
              <w:rPr>
                <w:b/>
                <w:i/>
                <w:color w:val="1F497D"/>
                <w:sz w:val="18"/>
                <w:szCs w:val="18"/>
              </w:rPr>
              <w:t xml:space="preserve"> handleiding kwetsbare functies, gebaseerd op handboek van BIOS…)</w:t>
            </w:r>
            <w:r w:rsidRPr="00842677">
              <w:rPr>
                <w:b/>
                <w:color w:val="1F497D"/>
              </w:rPr>
              <w:t xml:space="preserve"> (en bijbehorende documenten)</w:t>
            </w:r>
          </w:p>
          <w:p w:rsidR="00D30A69" w:rsidRPr="00842677" w:rsidRDefault="00D30A69" w:rsidP="00076197">
            <w:pPr>
              <w:rPr>
                <w:b/>
              </w:rPr>
            </w:pPr>
          </w:p>
        </w:tc>
        <w:tc>
          <w:tcPr>
            <w:tcW w:w="6913" w:type="dxa"/>
          </w:tcPr>
          <w:p w:rsidR="00B24523" w:rsidRPr="00B40D4B" w:rsidRDefault="00076197" w:rsidP="00B24523">
            <w:r w:rsidRPr="00B40D4B">
              <w:t xml:space="preserve">Methodologie: </w:t>
            </w:r>
          </w:p>
          <w:p w:rsidR="00B24523" w:rsidRPr="00B40D4B" w:rsidRDefault="00B24523" w:rsidP="00B24523">
            <w:r w:rsidRPr="00B40D4B">
              <w:t>- handleiding kwetsbare functies,</w:t>
            </w:r>
          </w:p>
          <w:p w:rsidR="00B24523" w:rsidRPr="00B40D4B" w:rsidRDefault="00B24523" w:rsidP="00B24523">
            <w:r w:rsidRPr="00B40D4B">
              <w:t>- leidra</w:t>
            </w:r>
            <w:r w:rsidR="00076197" w:rsidRPr="00B40D4B">
              <w:t>ad van IAVA</w:t>
            </w:r>
          </w:p>
          <w:p w:rsidR="00076197" w:rsidRPr="00B40D4B" w:rsidRDefault="00076197" w:rsidP="00B24523"/>
          <w:p w:rsidR="00076197" w:rsidRPr="00B40D4B" w:rsidRDefault="00076197" w:rsidP="00076197">
            <w:r w:rsidRPr="00B40D4B">
              <w:t xml:space="preserve">De kwetsbare taken bij DEWI </w:t>
            </w:r>
            <w:r w:rsidR="006C20E1">
              <w:t xml:space="preserve">werden samengevat </w:t>
            </w:r>
            <w:r w:rsidRPr="00B40D4B">
              <w:t xml:space="preserve">in 10 categorieën. </w:t>
            </w:r>
          </w:p>
          <w:p w:rsidR="00A3182D" w:rsidRDefault="00A3182D" w:rsidP="00076197"/>
          <w:p w:rsidR="00076197" w:rsidRPr="00B40D4B" w:rsidRDefault="00076197" w:rsidP="00076197">
            <w:r w:rsidRPr="00B40D4B">
              <w:t xml:space="preserve">DEWI is een kleine organisatie, waar één bepaalde functiehouder bij de uitvoering van zijn opdracht vaak meerdere rollen </w:t>
            </w:r>
            <w:r w:rsidR="006C20E1">
              <w:t xml:space="preserve">en taken </w:t>
            </w:r>
            <w:r w:rsidRPr="00B40D4B">
              <w:t xml:space="preserve">opneemt en </w:t>
            </w:r>
            <w:r w:rsidR="002A7C38" w:rsidRPr="00B40D4B">
              <w:t xml:space="preserve">aldus geconfronteerd </w:t>
            </w:r>
            <w:r w:rsidRPr="00B40D4B">
              <w:t>word</w:t>
            </w:r>
            <w:r w:rsidR="002A7C38" w:rsidRPr="00B40D4B">
              <w:t>t</w:t>
            </w:r>
            <w:r w:rsidR="00B40D4B">
              <w:t xml:space="preserve"> met de integriteitsrisico’s van m</w:t>
            </w:r>
            <w:r w:rsidRPr="00B40D4B">
              <w:t>eerdere categorieën van kwetsbare taken.</w:t>
            </w:r>
          </w:p>
          <w:p w:rsidR="00076197" w:rsidRPr="00B40D4B" w:rsidRDefault="00076197" w:rsidP="00B24523"/>
        </w:tc>
      </w:tr>
      <w:tr w:rsidR="00D30A69" w:rsidTr="00076197">
        <w:tc>
          <w:tcPr>
            <w:tcW w:w="2375" w:type="dxa"/>
          </w:tcPr>
          <w:p w:rsidR="00D30A69" w:rsidRPr="00842677" w:rsidRDefault="00D30A69" w:rsidP="0007619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</w:t>
            </w:r>
            <w:r w:rsidRPr="00842677">
              <w:rPr>
                <w:b/>
                <w:color w:val="1F497D"/>
              </w:rPr>
              <w:t xml:space="preserve">orte beschrijving van de methode </w:t>
            </w:r>
            <w:r>
              <w:rPr>
                <w:b/>
                <w:color w:val="1F497D"/>
              </w:rPr>
              <w:t>met de verschillende stappen</w:t>
            </w:r>
          </w:p>
          <w:p w:rsidR="00D30A69" w:rsidRPr="00842677" w:rsidRDefault="00D30A69" w:rsidP="00076197">
            <w:pPr>
              <w:rPr>
                <w:b/>
              </w:rPr>
            </w:pPr>
          </w:p>
        </w:tc>
        <w:tc>
          <w:tcPr>
            <w:tcW w:w="6913" w:type="dxa"/>
          </w:tcPr>
          <w:p w:rsidR="00D30A69" w:rsidRDefault="008732F3" w:rsidP="00B40D4B">
            <w:r>
              <w:t>1.</w:t>
            </w:r>
            <w:r w:rsidR="00B40D4B">
              <w:t xml:space="preserve"> </w:t>
            </w:r>
            <w:r w:rsidR="00B40D4B" w:rsidRPr="00B40D4B">
              <w:rPr>
                <w:u w:val="single"/>
              </w:rPr>
              <w:t>Nota voor de directieraad</w:t>
            </w:r>
            <w:r w:rsidR="00B40D4B">
              <w:t xml:space="preserve"> </w:t>
            </w:r>
            <w:r w:rsidR="000C193F">
              <w:t xml:space="preserve"> om </w:t>
            </w:r>
            <w:r w:rsidR="00B40D4B">
              <w:t xml:space="preserve">akkoord voor </w:t>
            </w:r>
            <w:r w:rsidR="006C20E1">
              <w:t xml:space="preserve">de </w:t>
            </w:r>
            <w:r w:rsidR="00B40D4B">
              <w:t>opdracht</w:t>
            </w:r>
            <w:r w:rsidR="006C20E1">
              <w:t xml:space="preserve"> en de scope </w:t>
            </w:r>
            <w:r w:rsidR="000C193F">
              <w:t>te verkrijgen</w:t>
            </w:r>
            <w:r w:rsidR="006C20E1">
              <w:t>.</w:t>
            </w:r>
          </w:p>
          <w:p w:rsidR="006C20E1" w:rsidRDefault="008732F3" w:rsidP="00B40D4B">
            <w:r>
              <w:t>2.</w:t>
            </w:r>
            <w:r w:rsidR="000C193F">
              <w:t xml:space="preserve"> </w:t>
            </w:r>
            <w:r w:rsidR="006C20E1" w:rsidRPr="006C20E1">
              <w:rPr>
                <w:u w:val="single"/>
              </w:rPr>
              <w:t>Actie opgenomen in EWI-Actieplan Samen Vooruit 2012</w:t>
            </w:r>
            <w:r w:rsidR="006C20E1">
              <w:t xml:space="preserve"> (m.b.t. maturiteit organisatiebeheersing) </w:t>
            </w:r>
          </w:p>
          <w:p w:rsidR="000C193F" w:rsidRPr="000C193F" w:rsidRDefault="006C20E1" w:rsidP="00B40D4B">
            <w:r>
              <w:t xml:space="preserve">3. </w:t>
            </w:r>
            <w:r w:rsidR="000C193F" w:rsidRPr="000C193F">
              <w:rPr>
                <w:u w:val="single"/>
              </w:rPr>
              <w:t>Projectgroep</w:t>
            </w:r>
            <w:r w:rsidR="000C193F">
              <w:rPr>
                <w:u w:val="single"/>
              </w:rPr>
              <w:t xml:space="preserve"> </w:t>
            </w:r>
            <w:r w:rsidR="000C193F" w:rsidRPr="000C193F">
              <w:t>samengesteld</w:t>
            </w:r>
            <w:r w:rsidR="008732F3">
              <w:t xml:space="preserve">, vnl. </w:t>
            </w:r>
            <w:r w:rsidR="00A3182D">
              <w:t>fun</w:t>
            </w:r>
            <w:r>
              <w:t xml:space="preserve">ctie van </w:t>
            </w:r>
            <w:r w:rsidR="000C193F">
              <w:t>klankbord</w:t>
            </w:r>
          </w:p>
          <w:p w:rsidR="00B40D4B" w:rsidRDefault="00C74A37" w:rsidP="000C193F">
            <w:r>
              <w:t>4</w:t>
            </w:r>
            <w:r w:rsidR="008732F3">
              <w:t xml:space="preserve">. </w:t>
            </w:r>
            <w:r w:rsidR="00B40D4B" w:rsidRPr="00B40D4B">
              <w:rPr>
                <w:u w:val="single"/>
              </w:rPr>
              <w:t>Analyse</w:t>
            </w:r>
            <w:r w:rsidR="00B40D4B">
              <w:t xml:space="preserve"> </w:t>
            </w:r>
            <w:r w:rsidR="000C193F">
              <w:t xml:space="preserve"> </w:t>
            </w:r>
            <w:r w:rsidR="008732F3">
              <w:t>‘Beheersing v/d organisatierisico’s gerelateerd aa</w:t>
            </w:r>
            <w:r>
              <w:t xml:space="preserve">n personen bij departement EWI’:  inhoud: inventaris kwetsbare functies a.d.h.v. 10 kwetsbare taken, </w:t>
            </w:r>
            <w:proofErr w:type="spellStart"/>
            <w:r>
              <w:t>vb</w:t>
            </w:r>
            <w:proofErr w:type="spellEnd"/>
            <w:r>
              <w:t xml:space="preserve"> risico’s en dilemma’s, inventaris van </w:t>
            </w:r>
            <w:r w:rsidR="000C193F">
              <w:t xml:space="preserve">alle </w:t>
            </w:r>
            <w:r>
              <w:t xml:space="preserve">reeds </w:t>
            </w:r>
            <w:r w:rsidR="00B40D4B">
              <w:t xml:space="preserve">bestaande maatregelen </w:t>
            </w:r>
            <w:r>
              <w:t xml:space="preserve">en suggestie voor aanvullingen. </w:t>
            </w:r>
          </w:p>
          <w:p w:rsidR="000C193F" w:rsidRDefault="00C74A37" w:rsidP="000C193F">
            <w:r>
              <w:t>5</w:t>
            </w:r>
            <w:r w:rsidR="008732F3">
              <w:t>.</w:t>
            </w:r>
            <w:r w:rsidR="000C193F">
              <w:t xml:space="preserve"> </w:t>
            </w:r>
            <w:r w:rsidR="000C193F">
              <w:rPr>
                <w:u w:val="single"/>
              </w:rPr>
              <w:t xml:space="preserve">Workshop </w:t>
            </w:r>
            <w:r w:rsidR="000C193F" w:rsidRPr="000C193F">
              <w:t xml:space="preserve">om </w:t>
            </w:r>
            <w:r w:rsidR="000C193F">
              <w:t xml:space="preserve">aanvullende maatregelen </w:t>
            </w:r>
            <w:r>
              <w:t xml:space="preserve">te genereren </w:t>
            </w:r>
            <w:r w:rsidR="00A3182D">
              <w:t xml:space="preserve"> </w:t>
            </w:r>
            <w:r>
              <w:t xml:space="preserve">voor 2 specifieke categorieën </w:t>
            </w:r>
            <w:r w:rsidR="00A3182D">
              <w:t>waar na</w:t>
            </w:r>
            <w:r>
              <w:t>uwelijks maatregelen voor waren nl. : ‘adviezen geven’ en ‘opstellen van formele/officiële rapportering’</w:t>
            </w:r>
          </w:p>
          <w:p w:rsidR="00A3182D" w:rsidRDefault="00C74A37" w:rsidP="008732F3">
            <w:r>
              <w:t>6</w:t>
            </w:r>
            <w:r w:rsidR="008732F3">
              <w:t>.</w:t>
            </w:r>
            <w:r w:rsidR="000C193F">
              <w:t xml:space="preserve"> </w:t>
            </w:r>
            <w:r w:rsidR="008732F3">
              <w:rPr>
                <w:u w:val="single"/>
              </w:rPr>
              <w:t>A</w:t>
            </w:r>
            <w:r w:rsidR="008732F3" w:rsidRPr="008732F3">
              <w:rPr>
                <w:u w:val="single"/>
              </w:rPr>
              <w:t>ctieplan</w:t>
            </w:r>
            <w:r w:rsidR="008732F3">
              <w:t xml:space="preserve"> met </w:t>
            </w:r>
            <w:r w:rsidR="00A3182D">
              <w:t xml:space="preserve">(aanvullende) </w:t>
            </w:r>
            <w:r w:rsidR="008732F3">
              <w:t xml:space="preserve">maatregelen ter </w:t>
            </w:r>
            <w:r>
              <w:t xml:space="preserve">beheersing v/d organisatierisico’s gerelateerd aan personen bij departement EWI’ incl. de </w:t>
            </w:r>
            <w:r w:rsidR="008732F3">
              <w:t xml:space="preserve">bescherming van de kwetsbare functies </w:t>
            </w:r>
          </w:p>
          <w:p w:rsidR="00B40D4B" w:rsidRPr="00BE7283" w:rsidRDefault="00C74A37" w:rsidP="008732F3">
            <w:r>
              <w:t>7</w:t>
            </w:r>
            <w:r w:rsidR="008732F3" w:rsidRPr="008732F3">
              <w:t>.</w:t>
            </w:r>
            <w:r w:rsidR="008732F3">
              <w:rPr>
                <w:u w:val="single"/>
              </w:rPr>
              <w:t xml:space="preserve"> </w:t>
            </w:r>
            <w:r w:rsidR="000C193F" w:rsidRPr="000C193F">
              <w:rPr>
                <w:u w:val="single"/>
              </w:rPr>
              <w:t>Nota voor de directieraad</w:t>
            </w:r>
            <w:r w:rsidR="000C193F">
              <w:t xml:space="preserve"> om actieplan voor te stellen</w:t>
            </w:r>
            <w:r w:rsidR="008732F3">
              <w:t xml:space="preserve"> en akkoord voor uitvoering </w:t>
            </w:r>
            <w:r w:rsidR="00A3182D">
              <w:t xml:space="preserve">ervan </w:t>
            </w:r>
            <w:r w:rsidR="008732F3">
              <w:t xml:space="preserve">te vragen. </w:t>
            </w:r>
          </w:p>
        </w:tc>
      </w:tr>
      <w:tr w:rsidR="00D30A69" w:rsidTr="00076197">
        <w:tc>
          <w:tcPr>
            <w:tcW w:w="2375" w:type="dxa"/>
          </w:tcPr>
          <w:p w:rsidR="00D30A69" w:rsidRPr="00842677" w:rsidRDefault="00D30A69" w:rsidP="0007619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</w:t>
            </w:r>
            <w:r w:rsidRPr="00842677">
              <w:rPr>
                <w:b/>
                <w:color w:val="1F497D"/>
              </w:rPr>
              <w:t>utput van de stappen/methode</w:t>
            </w:r>
          </w:p>
          <w:p w:rsidR="00D30A69" w:rsidRPr="00842677" w:rsidRDefault="00D30A69" w:rsidP="00076197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(welke documenten, concrete acties,… zijn het resultaat van uw aanpak?)</w:t>
            </w:r>
          </w:p>
        </w:tc>
        <w:tc>
          <w:tcPr>
            <w:tcW w:w="6913" w:type="dxa"/>
          </w:tcPr>
          <w:p w:rsidR="00D30A69" w:rsidRDefault="000C193F" w:rsidP="00D30A69">
            <w:r>
              <w:t>- Analyse met inventaris bestaande maatregelen</w:t>
            </w:r>
          </w:p>
          <w:p w:rsidR="000C193F" w:rsidRDefault="000C193F" w:rsidP="00D30A69">
            <w:r>
              <w:t xml:space="preserve">- Workshop </w:t>
            </w:r>
            <w:r w:rsidR="008732F3">
              <w:t xml:space="preserve">- </w:t>
            </w:r>
            <w:r>
              <w:t>verslag</w:t>
            </w:r>
          </w:p>
          <w:p w:rsidR="000C193F" w:rsidRDefault="000C193F" w:rsidP="00D30A69">
            <w:r>
              <w:t>- Actieplan</w:t>
            </w:r>
          </w:p>
        </w:tc>
      </w:tr>
      <w:tr w:rsidR="00440DA1" w:rsidTr="00076197">
        <w:tc>
          <w:tcPr>
            <w:tcW w:w="2375" w:type="dxa"/>
          </w:tcPr>
          <w:p w:rsidR="00440DA1" w:rsidRDefault="00440DA1" w:rsidP="00440DA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Proces </w:t>
            </w:r>
          </w:p>
          <w:p w:rsidR="00440DA1" w:rsidRDefault="00440DA1" w:rsidP="00440DA1">
            <w:pPr>
              <w:rPr>
                <w:b/>
                <w:color w:val="1F497D"/>
              </w:rPr>
            </w:pPr>
            <w:r w:rsidRPr="00440DA1">
              <w:rPr>
                <w:sz w:val="18"/>
                <w:szCs w:val="18"/>
              </w:rPr>
              <w:t>(duur van analyse,…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913" w:type="dxa"/>
          </w:tcPr>
          <w:p w:rsidR="00440DA1" w:rsidRDefault="000C193F" w:rsidP="00D30A69">
            <w:r>
              <w:t>nov 2011 – sept 2012</w:t>
            </w:r>
          </w:p>
        </w:tc>
      </w:tr>
      <w:tr w:rsidR="00D30A69" w:rsidTr="00076197">
        <w:tc>
          <w:tcPr>
            <w:tcW w:w="2375" w:type="dxa"/>
          </w:tcPr>
          <w:p w:rsidR="00D30A69" w:rsidRPr="00842677" w:rsidRDefault="00D30A69" w:rsidP="00076197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V</w:t>
            </w:r>
            <w:r w:rsidRPr="00842677">
              <w:rPr>
                <w:b/>
                <w:color w:val="1F497D"/>
              </w:rPr>
              <w:t>erdere stappen</w:t>
            </w:r>
          </w:p>
          <w:p w:rsidR="00D30A69" w:rsidRPr="00842677" w:rsidRDefault="00D30A69" w:rsidP="00076197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(wat is het vervolg, hoe zet u het project verder?)</w:t>
            </w:r>
          </w:p>
        </w:tc>
        <w:tc>
          <w:tcPr>
            <w:tcW w:w="6913" w:type="dxa"/>
          </w:tcPr>
          <w:p w:rsidR="008732F3" w:rsidRDefault="008732F3" w:rsidP="008732F3">
            <w:r>
              <w:t xml:space="preserve">Het doel is een integere DEWI-organisatie door de acties uit het actieplan te realiseren en te verankeren in de dagelijkse DEWI-werking. </w:t>
            </w:r>
          </w:p>
          <w:p w:rsidR="008732F3" w:rsidRDefault="008732F3" w:rsidP="008732F3"/>
        </w:tc>
      </w:tr>
      <w:tr w:rsidR="00D30A69" w:rsidTr="00076197">
        <w:tc>
          <w:tcPr>
            <w:tcW w:w="2375" w:type="dxa"/>
          </w:tcPr>
          <w:p w:rsidR="00D30A69" w:rsidRPr="00842677" w:rsidRDefault="00D30A69" w:rsidP="00A3182D">
            <w:pPr>
              <w:rPr>
                <w:b/>
              </w:rPr>
            </w:pPr>
            <w:r w:rsidRPr="00842677">
              <w:rPr>
                <w:b/>
                <w:color w:val="1F497D"/>
              </w:rPr>
              <w:t>Randvoorwaarden en aandachtpunten</w:t>
            </w:r>
          </w:p>
        </w:tc>
        <w:tc>
          <w:tcPr>
            <w:tcW w:w="6913" w:type="dxa"/>
          </w:tcPr>
          <w:p w:rsidR="00D30A69" w:rsidRDefault="000C193F" w:rsidP="00D30A69">
            <w:r>
              <w:t>Akkoord van management.</w:t>
            </w:r>
          </w:p>
          <w:p w:rsidR="008732F3" w:rsidRDefault="000C193F" w:rsidP="00C74A37">
            <w:r>
              <w:t xml:space="preserve">Acties zijn afgestemd met de </w:t>
            </w:r>
            <w:r w:rsidR="00C74A37">
              <w:t xml:space="preserve">stakeholders </w:t>
            </w:r>
            <w:r>
              <w:t>.</w:t>
            </w:r>
          </w:p>
          <w:p w:rsidR="00C74A37" w:rsidRDefault="00C74A37" w:rsidP="00C74A37">
            <w:r>
              <w:t>Voldoende overleg om weerstand te beheersen.</w:t>
            </w:r>
          </w:p>
        </w:tc>
      </w:tr>
      <w:tr w:rsidR="00D30A69" w:rsidRPr="00535B74" w:rsidTr="00076197">
        <w:tc>
          <w:tcPr>
            <w:tcW w:w="2375" w:type="dxa"/>
          </w:tcPr>
          <w:p w:rsidR="00D30A69" w:rsidRPr="00842677" w:rsidRDefault="00D30A69" w:rsidP="00A3182D">
            <w:pPr>
              <w:rPr>
                <w:b/>
              </w:rPr>
            </w:pPr>
            <w:r w:rsidRPr="00842677">
              <w:rPr>
                <w:b/>
                <w:color w:val="1F497D"/>
              </w:rPr>
              <w:t xml:space="preserve">contactgegevens: </w:t>
            </w:r>
            <w:r>
              <w:rPr>
                <w:b/>
                <w:color w:val="1F497D"/>
              </w:rPr>
              <w:br/>
              <w:t xml:space="preserve">beleidsdomein, </w:t>
            </w:r>
            <w:r w:rsidRPr="00842677">
              <w:rPr>
                <w:b/>
                <w:color w:val="1F497D"/>
              </w:rPr>
              <w:t xml:space="preserve">entiteit, </w:t>
            </w:r>
            <w:r w:rsidRPr="00842677">
              <w:rPr>
                <w:b/>
                <w:color w:val="1F497D"/>
              </w:rPr>
              <w:lastRenderedPageBreak/>
              <w:t>contactpersoon …</w:t>
            </w:r>
          </w:p>
        </w:tc>
        <w:tc>
          <w:tcPr>
            <w:tcW w:w="6913" w:type="dxa"/>
          </w:tcPr>
          <w:p w:rsidR="000C193F" w:rsidRDefault="000C193F" w:rsidP="00076197">
            <w:r>
              <w:lastRenderedPageBreak/>
              <w:t>EWI</w:t>
            </w:r>
          </w:p>
          <w:p w:rsidR="000C193F" w:rsidRDefault="000C193F" w:rsidP="00076197">
            <w:r>
              <w:t>Departement Economie Wetenschape en Innovatie</w:t>
            </w:r>
          </w:p>
          <w:p w:rsidR="000C193F" w:rsidRPr="006C20E1" w:rsidRDefault="000C193F" w:rsidP="000C193F">
            <w:pPr>
              <w:rPr>
                <w:lang w:val="en-US"/>
              </w:rPr>
            </w:pPr>
            <w:r w:rsidRPr="006C20E1">
              <w:rPr>
                <w:lang w:val="en-US"/>
              </w:rPr>
              <w:t>Rita Hauchecorne</w:t>
            </w:r>
          </w:p>
          <w:p w:rsidR="000C193F" w:rsidRPr="006C20E1" w:rsidRDefault="000C193F" w:rsidP="00076197">
            <w:pPr>
              <w:rPr>
                <w:lang w:val="en-US"/>
              </w:rPr>
            </w:pPr>
            <w:r w:rsidRPr="006C20E1">
              <w:rPr>
                <w:lang w:val="en-US"/>
              </w:rPr>
              <w:lastRenderedPageBreak/>
              <w:t>rita.hauchecorne@ewi.vlaanderen.be</w:t>
            </w:r>
          </w:p>
        </w:tc>
      </w:tr>
      <w:tr w:rsidR="00D30A69" w:rsidRPr="00D30A69" w:rsidTr="00076197">
        <w:tc>
          <w:tcPr>
            <w:tcW w:w="2375" w:type="dxa"/>
          </w:tcPr>
          <w:p w:rsidR="00D30A69" w:rsidRDefault="00D30A69" w:rsidP="00076197">
            <w:r w:rsidRPr="00842677">
              <w:rPr>
                <w:b/>
                <w:color w:val="1F497D" w:themeColor="text2"/>
              </w:rPr>
              <w:lastRenderedPageBreak/>
              <w:t>Referentie en documentatiemateriaal</w:t>
            </w:r>
            <w:r>
              <w:t xml:space="preserve"> </w:t>
            </w:r>
            <w:r w:rsidRPr="00842677">
              <w:rPr>
                <w:i/>
                <w:sz w:val="18"/>
                <w:szCs w:val="18"/>
              </w:rPr>
              <w:t>(materiaal dat u met collega’s kan delen)</w:t>
            </w:r>
          </w:p>
        </w:tc>
        <w:tc>
          <w:tcPr>
            <w:tcW w:w="6913" w:type="dxa"/>
          </w:tcPr>
          <w:p w:rsidR="00D30A69" w:rsidRDefault="00C74A37" w:rsidP="00C74A37">
            <w:r>
              <w:t xml:space="preserve">- </w:t>
            </w:r>
            <w:r w:rsidR="000C193F">
              <w:t xml:space="preserve">Analyse </w:t>
            </w:r>
            <w:r>
              <w:t xml:space="preserve"> (excl. Specifieke EWI-informatie)</w:t>
            </w:r>
          </w:p>
          <w:p w:rsidR="00C74A37" w:rsidRPr="00440DA1" w:rsidRDefault="00C74A37" w:rsidP="00C74A37"/>
        </w:tc>
      </w:tr>
    </w:tbl>
    <w:p w:rsidR="00076197" w:rsidRPr="00440DA1" w:rsidRDefault="00076197" w:rsidP="00A3182D"/>
    <w:sectPr w:rsidR="00076197" w:rsidRPr="00440DA1" w:rsidSect="0007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7F"/>
    <w:multiLevelType w:val="hybridMultilevel"/>
    <w:tmpl w:val="5B00A764"/>
    <w:lvl w:ilvl="0" w:tplc="0813000F">
      <w:start w:val="1"/>
      <w:numFmt w:val="decimal"/>
      <w:lvlText w:val="%1."/>
      <w:lvlJc w:val="left"/>
      <w:pPr>
        <w:ind w:left="1134" w:hanging="360"/>
      </w:pPr>
    </w:lvl>
    <w:lvl w:ilvl="1" w:tplc="08130019" w:tentative="1">
      <w:start w:val="1"/>
      <w:numFmt w:val="lowerLetter"/>
      <w:lvlText w:val="%2."/>
      <w:lvlJc w:val="left"/>
      <w:pPr>
        <w:ind w:left="1854" w:hanging="360"/>
      </w:pPr>
    </w:lvl>
    <w:lvl w:ilvl="2" w:tplc="0813001B" w:tentative="1">
      <w:start w:val="1"/>
      <w:numFmt w:val="lowerRoman"/>
      <w:lvlText w:val="%3."/>
      <w:lvlJc w:val="right"/>
      <w:pPr>
        <w:ind w:left="2574" w:hanging="180"/>
      </w:pPr>
    </w:lvl>
    <w:lvl w:ilvl="3" w:tplc="0813000F" w:tentative="1">
      <w:start w:val="1"/>
      <w:numFmt w:val="decimal"/>
      <w:lvlText w:val="%4."/>
      <w:lvlJc w:val="left"/>
      <w:pPr>
        <w:ind w:left="3294" w:hanging="360"/>
      </w:pPr>
    </w:lvl>
    <w:lvl w:ilvl="4" w:tplc="08130019" w:tentative="1">
      <w:start w:val="1"/>
      <w:numFmt w:val="lowerLetter"/>
      <w:lvlText w:val="%5."/>
      <w:lvlJc w:val="left"/>
      <w:pPr>
        <w:ind w:left="4014" w:hanging="360"/>
      </w:pPr>
    </w:lvl>
    <w:lvl w:ilvl="5" w:tplc="0813001B" w:tentative="1">
      <w:start w:val="1"/>
      <w:numFmt w:val="lowerRoman"/>
      <w:lvlText w:val="%6."/>
      <w:lvlJc w:val="right"/>
      <w:pPr>
        <w:ind w:left="4734" w:hanging="180"/>
      </w:pPr>
    </w:lvl>
    <w:lvl w:ilvl="6" w:tplc="0813000F" w:tentative="1">
      <w:start w:val="1"/>
      <w:numFmt w:val="decimal"/>
      <w:lvlText w:val="%7."/>
      <w:lvlJc w:val="left"/>
      <w:pPr>
        <w:ind w:left="5454" w:hanging="360"/>
      </w:pPr>
    </w:lvl>
    <w:lvl w:ilvl="7" w:tplc="08130019" w:tentative="1">
      <w:start w:val="1"/>
      <w:numFmt w:val="lowerLetter"/>
      <w:lvlText w:val="%8."/>
      <w:lvlJc w:val="left"/>
      <w:pPr>
        <w:ind w:left="6174" w:hanging="360"/>
      </w:pPr>
    </w:lvl>
    <w:lvl w:ilvl="8" w:tplc="0813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65FF3D96"/>
    <w:multiLevelType w:val="hybridMultilevel"/>
    <w:tmpl w:val="F698E55C"/>
    <w:lvl w:ilvl="0" w:tplc="D6E237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20725"/>
    <w:multiLevelType w:val="hybridMultilevel"/>
    <w:tmpl w:val="5C349D0E"/>
    <w:lvl w:ilvl="0" w:tplc="26D086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9"/>
    <w:rsid w:val="00076197"/>
    <w:rsid w:val="000C193F"/>
    <w:rsid w:val="00184BC1"/>
    <w:rsid w:val="002A7C38"/>
    <w:rsid w:val="00440DA1"/>
    <w:rsid w:val="00535B74"/>
    <w:rsid w:val="00584E42"/>
    <w:rsid w:val="006C20E1"/>
    <w:rsid w:val="008732F3"/>
    <w:rsid w:val="0095613B"/>
    <w:rsid w:val="00A3182D"/>
    <w:rsid w:val="00B24523"/>
    <w:rsid w:val="00B40D4B"/>
    <w:rsid w:val="00B64E2F"/>
    <w:rsid w:val="00C74A37"/>
    <w:rsid w:val="00D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A69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35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A69"/>
    <w:pPr>
      <w:ind w:left="720"/>
      <w:contextualSpacing/>
    </w:pPr>
  </w:style>
  <w:style w:type="table" w:styleId="Tabelraster">
    <w:name w:val="Table Grid"/>
    <w:basedOn w:val="Standaardtabel"/>
    <w:uiPriority w:val="59"/>
    <w:rsid w:val="00D30A69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0A6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35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A69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35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A69"/>
    <w:pPr>
      <w:ind w:left="720"/>
      <w:contextualSpacing/>
    </w:pPr>
  </w:style>
  <w:style w:type="table" w:styleId="Tabelraster">
    <w:name w:val="Table Grid"/>
    <w:basedOn w:val="Standaardtabel"/>
    <w:uiPriority w:val="59"/>
    <w:rsid w:val="00D30A69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0A6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35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Wachter, Josefien</dc:creator>
  <cp:lastModifiedBy>De Wachter, Josefien</cp:lastModifiedBy>
  <cp:revision>3</cp:revision>
  <dcterms:created xsi:type="dcterms:W3CDTF">2012-08-08T12:24:00Z</dcterms:created>
  <dcterms:modified xsi:type="dcterms:W3CDTF">2012-10-25T09:41:00Z</dcterms:modified>
</cp:coreProperties>
</file>