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53" w:rsidRPr="00842677" w:rsidRDefault="006858A2" w:rsidP="006858A2">
      <w:pPr>
        <w:pStyle w:val="Kop1"/>
      </w:pPr>
      <w:r>
        <w:t>V</w:t>
      </w:r>
      <w:r w:rsidR="008E7653" w:rsidRPr="00720F3B">
        <w:t>oorstelling methodiek risicoanalyse integriteit</w:t>
      </w:r>
      <w:bookmarkStart w:id="0" w:name="_GoBack"/>
      <w:bookmarkEnd w:id="0"/>
    </w:p>
    <w:p w:rsidR="008E7653" w:rsidRDefault="008E76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6913"/>
      </w:tblGrid>
      <w:tr w:rsidR="008E7653" w:rsidRPr="002C1112" w:rsidTr="002C1112">
        <w:tc>
          <w:tcPr>
            <w:tcW w:w="2375" w:type="dxa"/>
          </w:tcPr>
          <w:p w:rsidR="008E7653" w:rsidRPr="002C1112" w:rsidRDefault="008E7653" w:rsidP="002C1112">
            <w:pPr>
              <w:spacing w:after="0" w:line="240" w:lineRule="auto"/>
              <w:rPr>
                <w:b/>
                <w:color w:val="1F497D"/>
              </w:rPr>
            </w:pPr>
            <w:r w:rsidRPr="002C1112">
              <w:rPr>
                <w:b/>
                <w:color w:val="1F497D"/>
              </w:rPr>
              <w:t xml:space="preserve">Titel en beknopte  beschrijving van project/oefening </w:t>
            </w:r>
          </w:p>
        </w:tc>
        <w:tc>
          <w:tcPr>
            <w:tcW w:w="6913" w:type="dxa"/>
          </w:tcPr>
          <w:p w:rsidR="008E7653" w:rsidRDefault="008E7653" w:rsidP="002C1112">
            <w:pPr>
              <w:spacing w:after="0" w:line="240" w:lineRule="auto"/>
            </w:pPr>
            <w:r>
              <w:t>Titel: Risicoanalyse integriteit</w:t>
            </w:r>
          </w:p>
          <w:p w:rsidR="008E7653" w:rsidRPr="002C1112" w:rsidRDefault="008E7653" w:rsidP="002C1112">
            <w:pPr>
              <w:spacing w:after="0" w:line="240" w:lineRule="auto"/>
            </w:pPr>
            <w:r>
              <w:t xml:space="preserve">Beschrijving: actualiseren van de in 2007 gedetecteerde integriteitrisico’s op procesniveau en detecteren van de integriteitrisico’s op functieniveau. </w:t>
            </w:r>
          </w:p>
        </w:tc>
      </w:tr>
      <w:tr w:rsidR="008E7653" w:rsidRPr="002C1112" w:rsidTr="002C1112">
        <w:tc>
          <w:tcPr>
            <w:tcW w:w="2375" w:type="dxa"/>
          </w:tcPr>
          <w:p w:rsidR="008E7653" w:rsidRPr="002C1112" w:rsidRDefault="008E7653" w:rsidP="002C1112">
            <w:pPr>
              <w:spacing w:after="0" w:line="240" w:lineRule="auto"/>
              <w:rPr>
                <w:b/>
                <w:color w:val="1F497D"/>
              </w:rPr>
            </w:pPr>
            <w:r w:rsidRPr="002C1112">
              <w:rPr>
                <w:b/>
                <w:color w:val="1F497D"/>
              </w:rPr>
              <w:t xml:space="preserve">gehanteerde methodologie </w:t>
            </w:r>
            <w:r w:rsidRPr="002C1112">
              <w:rPr>
                <w:b/>
                <w:i/>
                <w:color w:val="1F497D"/>
                <w:sz w:val="18"/>
                <w:szCs w:val="18"/>
              </w:rPr>
              <w:t xml:space="preserve">(bv proces of functie-georiënteerd, gebaseerd op leidraad van IAVA, </w:t>
            </w:r>
            <w:proofErr w:type="spellStart"/>
            <w:r w:rsidRPr="002C1112">
              <w:rPr>
                <w:b/>
                <w:i/>
                <w:color w:val="1F497D"/>
                <w:sz w:val="18"/>
                <w:szCs w:val="18"/>
              </w:rPr>
              <w:t>ahv</w:t>
            </w:r>
            <w:proofErr w:type="spellEnd"/>
            <w:r w:rsidRPr="002C1112">
              <w:rPr>
                <w:b/>
                <w:i/>
                <w:color w:val="1F497D"/>
                <w:sz w:val="18"/>
                <w:szCs w:val="18"/>
              </w:rPr>
              <w:t xml:space="preserve"> handleiding kwetsbare functies, gebaseerd op handboek van BIOS…)</w:t>
            </w:r>
            <w:r w:rsidRPr="002C1112">
              <w:rPr>
                <w:b/>
                <w:color w:val="1F497D"/>
              </w:rPr>
              <w:t xml:space="preserve"> (en bijbehorende documenten)</w:t>
            </w:r>
          </w:p>
          <w:p w:rsidR="008E7653" w:rsidRPr="002C1112" w:rsidRDefault="008E7653" w:rsidP="002C1112">
            <w:pPr>
              <w:spacing w:after="0" w:line="240" w:lineRule="auto"/>
              <w:rPr>
                <w:b/>
              </w:rPr>
            </w:pPr>
          </w:p>
        </w:tc>
        <w:tc>
          <w:tcPr>
            <w:tcW w:w="6913" w:type="dxa"/>
          </w:tcPr>
          <w:p w:rsidR="008E7653" w:rsidRDefault="008E7653" w:rsidP="002C1112">
            <w:pPr>
              <w:spacing w:after="0" w:line="240" w:lineRule="auto"/>
            </w:pPr>
            <w:r>
              <w:t>De gehanteerde methodologie is gebaseerd op de “</w:t>
            </w:r>
            <w:r w:rsidRPr="00107900">
              <w:t>Handleiding</w:t>
            </w:r>
            <w:r>
              <w:t xml:space="preserve"> </w:t>
            </w:r>
            <w:r w:rsidRPr="00107900">
              <w:t>identificeren</w:t>
            </w:r>
            <w:r>
              <w:t xml:space="preserve"> </w:t>
            </w:r>
            <w:r w:rsidRPr="00107900">
              <w:t>van</w:t>
            </w:r>
            <w:r>
              <w:t xml:space="preserve"> </w:t>
            </w:r>
            <w:r w:rsidRPr="00107900">
              <w:t>kwetsbare</w:t>
            </w:r>
            <w:r>
              <w:t xml:space="preserve"> </w:t>
            </w:r>
            <w:r w:rsidRPr="00107900">
              <w:t>functies</w:t>
            </w:r>
            <w:r>
              <w:t xml:space="preserve">”. Op basis hiervan werd een stappenplan uitgewerkt dat aangepast is aan de noden van W&amp;Z. </w:t>
            </w:r>
          </w:p>
          <w:p w:rsidR="008E7653" w:rsidRDefault="008E7653" w:rsidP="002C1112">
            <w:pPr>
              <w:spacing w:after="0" w:line="240" w:lineRule="auto"/>
            </w:pPr>
            <w:r>
              <w:t xml:space="preserve">Deze methodiek is zowel proces als functie georiënteerd en bevat dus een globale risicoanalyse op het vlak van integriteit. </w:t>
            </w:r>
          </w:p>
          <w:p w:rsidR="008E7653" w:rsidRPr="00107900" w:rsidRDefault="008E7653" w:rsidP="002C1112">
            <w:pPr>
              <w:spacing w:after="0" w:line="240" w:lineRule="auto"/>
            </w:pPr>
            <w:r>
              <w:t xml:space="preserve">De leidraad van IAVA werd door de stafdienst organisatiebeheersing opgenomen in het systeem van organisatiebeheersing, waarbij alle reeds bestaande beheersmaatregelen op vlak van integriteit geïnventariseerd zijn. Deze “inventaris” zal worden gebruikt om, op basis van de resultaten van de risicoanalyse, na te gaan welke aanvullende beheersmaatregelen wenselijk zijn. </w:t>
            </w:r>
          </w:p>
        </w:tc>
      </w:tr>
      <w:tr w:rsidR="008E7653" w:rsidRPr="002C1112" w:rsidTr="002C1112">
        <w:tc>
          <w:tcPr>
            <w:tcW w:w="2375" w:type="dxa"/>
          </w:tcPr>
          <w:p w:rsidR="008E7653" w:rsidRPr="002C1112" w:rsidRDefault="008E7653" w:rsidP="002C1112">
            <w:pPr>
              <w:spacing w:after="0" w:line="240" w:lineRule="auto"/>
              <w:rPr>
                <w:b/>
                <w:color w:val="1F497D"/>
              </w:rPr>
            </w:pPr>
            <w:r w:rsidRPr="002C1112">
              <w:rPr>
                <w:b/>
                <w:color w:val="1F497D"/>
              </w:rPr>
              <w:t>Korte beschrijving van de methode met de verschillende stappen</w:t>
            </w:r>
          </w:p>
          <w:p w:rsidR="008E7653" w:rsidRPr="002C1112" w:rsidRDefault="008E7653" w:rsidP="002C1112">
            <w:pPr>
              <w:spacing w:after="0" w:line="240" w:lineRule="auto"/>
              <w:rPr>
                <w:b/>
              </w:rPr>
            </w:pPr>
          </w:p>
        </w:tc>
        <w:tc>
          <w:tcPr>
            <w:tcW w:w="6913" w:type="dxa"/>
          </w:tcPr>
          <w:p w:rsidR="008E7653" w:rsidRPr="002C1112" w:rsidRDefault="008E7653" w:rsidP="002C1112">
            <w:pPr>
              <w:spacing w:after="0" w:line="240" w:lineRule="auto"/>
            </w:pPr>
            <w:r>
              <w:t xml:space="preserve">Alle stappen uit de handleiding kwetsbare functies werden overgenomen. Hiervoor werden verschillende sjablonen uitgewerkt. Onder ander de </w:t>
            </w:r>
            <w:proofErr w:type="spellStart"/>
            <w:r>
              <w:t>kwetsbaarheidmatrix</w:t>
            </w:r>
            <w:proofErr w:type="spellEnd"/>
            <w:r>
              <w:t xml:space="preserve">, maar ook een sjabloon risico kwantificering, risico foto en risico actieplan (zie bijlagen). </w:t>
            </w:r>
          </w:p>
        </w:tc>
      </w:tr>
      <w:tr w:rsidR="008E7653" w:rsidRPr="002C1112" w:rsidTr="002C1112">
        <w:tc>
          <w:tcPr>
            <w:tcW w:w="2375" w:type="dxa"/>
          </w:tcPr>
          <w:p w:rsidR="008E7653" w:rsidRPr="002C1112" w:rsidRDefault="008E7653" w:rsidP="002C1112">
            <w:pPr>
              <w:spacing w:after="0" w:line="240" w:lineRule="auto"/>
              <w:rPr>
                <w:b/>
                <w:color w:val="1F497D"/>
              </w:rPr>
            </w:pPr>
            <w:r w:rsidRPr="002C1112">
              <w:rPr>
                <w:b/>
                <w:color w:val="1F497D"/>
              </w:rPr>
              <w:t>Output van de stappen/methode</w:t>
            </w:r>
          </w:p>
          <w:p w:rsidR="008E7653" w:rsidRPr="002C1112" w:rsidRDefault="008E7653" w:rsidP="002C1112">
            <w:pPr>
              <w:spacing w:after="0" w:line="240" w:lineRule="auto"/>
              <w:rPr>
                <w:b/>
                <w:i/>
                <w:sz w:val="18"/>
                <w:szCs w:val="18"/>
              </w:rPr>
            </w:pPr>
            <w:r w:rsidRPr="002C1112">
              <w:rPr>
                <w:b/>
                <w:i/>
                <w:sz w:val="18"/>
                <w:szCs w:val="18"/>
              </w:rPr>
              <w:t>(welke documenten, concrete acties,… zijn het resultaat van uw aanpak?)</w:t>
            </w:r>
          </w:p>
        </w:tc>
        <w:tc>
          <w:tcPr>
            <w:tcW w:w="6913" w:type="dxa"/>
          </w:tcPr>
          <w:p w:rsidR="008E7653" w:rsidRPr="00712F24" w:rsidRDefault="008E7653" w:rsidP="002C1112">
            <w:pPr>
              <w:spacing w:after="0" w:line="240" w:lineRule="auto"/>
            </w:pPr>
            <w:r>
              <w:t xml:space="preserve">Bedoeling is om de belangrijkste integriteitrisico’s van W&amp;Z (dit zijn integriteitrisico’s die </w:t>
            </w:r>
            <w:r w:rsidRPr="00712F24">
              <w:t>de geloofwaardigheid en betrouwbaarheid van W&amp;Z kunnen aantasten</w:t>
            </w:r>
            <w:r>
              <w:t xml:space="preserve">) te detecteren. En op basis hiervan beheersmaatregelen uit te werken. Tevens zal van deze input gebruik worden gemaakt voor het opstellen van het “Beleidsplan integriteit 2012 </w:t>
            </w:r>
            <w:smartTag w:uri="urn:schemas-microsoft-com:office:smarttags" w:element="metricconverter">
              <w:smartTagPr>
                <w:attr w:name="ProductID" w:val="-2015”"/>
              </w:smartTagPr>
              <w:r>
                <w:t>-2015”</w:t>
              </w:r>
            </w:smartTag>
            <w:r>
              <w:t xml:space="preserve">. </w:t>
            </w:r>
          </w:p>
        </w:tc>
      </w:tr>
      <w:tr w:rsidR="008E7653" w:rsidRPr="002C1112" w:rsidTr="002C1112">
        <w:tc>
          <w:tcPr>
            <w:tcW w:w="2375" w:type="dxa"/>
          </w:tcPr>
          <w:p w:rsidR="008E7653" w:rsidRPr="002C1112" w:rsidRDefault="008E7653" w:rsidP="002C1112">
            <w:pPr>
              <w:spacing w:after="0" w:line="240" w:lineRule="auto"/>
              <w:rPr>
                <w:b/>
                <w:color w:val="1F497D"/>
              </w:rPr>
            </w:pPr>
            <w:r w:rsidRPr="002C1112">
              <w:rPr>
                <w:b/>
                <w:color w:val="1F497D"/>
              </w:rPr>
              <w:t>Verdere stappen</w:t>
            </w:r>
          </w:p>
          <w:p w:rsidR="008E7653" w:rsidRPr="002C1112" w:rsidRDefault="008E7653" w:rsidP="002C1112">
            <w:pPr>
              <w:spacing w:after="0" w:line="240" w:lineRule="auto"/>
              <w:rPr>
                <w:b/>
                <w:i/>
                <w:sz w:val="18"/>
                <w:szCs w:val="18"/>
              </w:rPr>
            </w:pPr>
            <w:r w:rsidRPr="002C1112">
              <w:rPr>
                <w:b/>
                <w:i/>
                <w:sz w:val="18"/>
                <w:szCs w:val="18"/>
              </w:rPr>
              <w:t>(wat is het vervolg, hoe zet u het project verder?)</w:t>
            </w:r>
          </w:p>
        </w:tc>
        <w:tc>
          <w:tcPr>
            <w:tcW w:w="6913" w:type="dxa"/>
          </w:tcPr>
          <w:p w:rsidR="008E7653" w:rsidRDefault="008E7653" w:rsidP="002C1112">
            <w:pPr>
              <w:spacing w:after="0" w:line="240" w:lineRule="auto"/>
            </w:pPr>
            <w:r>
              <w:t>De resultaten zullen gebruikt worden voor:</w:t>
            </w:r>
          </w:p>
          <w:p w:rsidR="008E7653" w:rsidRDefault="008E7653" w:rsidP="002C1112">
            <w:pPr>
              <w:spacing w:after="0" w:line="240" w:lineRule="auto"/>
            </w:pPr>
            <w:r>
              <w:t>Het detecteren van nieuwe beheersmaatregelen;</w:t>
            </w:r>
          </w:p>
          <w:p w:rsidR="008E7653" w:rsidRPr="002C1112" w:rsidRDefault="008E7653" w:rsidP="002C1112">
            <w:pPr>
              <w:spacing w:after="0" w:line="240" w:lineRule="auto"/>
            </w:pPr>
            <w:r>
              <w:t>De opmaak van het “Beleidsplan integriteit 2012-</w:t>
            </w:r>
            <w:smartTag w:uri="urn:schemas-microsoft-com:office:smarttags" w:element="metricconverter">
              <w:smartTagPr>
                <w:attr w:name="ProductID" w:val="2015”"/>
              </w:smartTagPr>
              <w:r>
                <w:t>2015”</w:t>
              </w:r>
            </w:smartTag>
            <w:r>
              <w:t xml:space="preserve">. </w:t>
            </w:r>
          </w:p>
        </w:tc>
      </w:tr>
      <w:tr w:rsidR="008E7653" w:rsidRPr="002C1112" w:rsidTr="002C1112">
        <w:tc>
          <w:tcPr>
            <w:tcW w:w="2375" w:type="dxa"/>
          </w:tcPr>
          <w:p w:rsidR="008E7653" w:rsidRPr="002C1112" w:rsidRDefault="008E7653" w:rsidP="002C1112">
            <w:pPr>
              <w:spacing w:after="0" w:line="240" w:lineRule="auto"/>
              <w:rPr>
                <w:b/>
                <w:color w:val="1F497D"/>
              </w:rPr>
            </w:pPr>
            <w:r w:rsidRPr="002C1112">
              <w:rPr>
                <w:b/>
                <w:color w:val="1F497D"/>
              </w:rPr>
              <w:t>Randvoorwaarden en aandachtpunten</w:t>
            </w:r>
          </w:p>
          <w:p w:rsidR="008E7653" w:rsidRPr="002C1112" w:rsidRDefault="008E7653" w:rsidP="002C1112">
            <w:pPr>
              <w:spacing w:after="0" w:line="240" w:lineRule="auto"/>
              <w:rPr>
                <w:b/>
              </w:rPr>
            </w:pPr>
          </w:p>
        </w:tc>
        <w:tc>
          <w:tcPr>
            <w:tcW w:w="6913" w:type="dxa"/>
          </w:tcPr>
          <w:p w:rsidR="008E7653" w:rsidRPr="002C1112" w:rsidRDefault="008E7653" w:rsidP="002C1112">
            <w:pPr>
              <w:spacing w:after="0" w:line="240" w:lineRule="auto"/>
            </w:pPr>
            <w:r>
              <w:t>Belangrijk is dat het projectteam dat instaat voor de detectie van de verschillende risico’s hier voldoende tijd voor heeft. Daarom is het noodzakelijk dat de risicoanalyse goed gestructureerd en efficiënt verloopt.</w:t>
            </w:r>
          </w:p>
        </w:tc>
      </w:tr>
      <w:tr w:rsidR="008E7653" w:rsidRPr="002C1112" w:rsidTr="002C1112">
        <w:tc>
          <w:tcPr>
            <w:tcW w:w="2375" w:type="dxa"/>
          </w:tcPr>
          <w:p w:rsidR="008E7653" w:rsidRPr="002C1112" w:rsidRDefault="008E7653" w:rsidP="002C1112">
            <w:pPr>
              <w:spacing w:after="0" w:line="240" w:lineRule="auto"/>
              <w:rPr>
                <w:b/>
              </w:rPr>
            </w:pPr>
            <w:r w:rsidRPr="002C1112">
              <w:rPr>
                <w:b/>
                <w:color w:val="1F497D"/>
              </w:rPr>
              <w:t xml:space="preserve">contactgegevens: </w:t>
            </w:r>
            <w:r w:rsidRPr="002C1112">
              <w:rPr>
                <w:b/>
                <w:color w:val="1F497D"/>
              </w:rPr>
              <w:br/>
              <w:t>beleidsdomein, entiteit, contactpersoon …</w:t>
            </w:r>
          </w:p>
        </w:tc>
        <w:tc>
          <w:tcPr>
            <w:tcW w:w="6913" w:type="dxa"/>
          </w:tcPr>
          <w:p w:rsidR="008E7653" w:rsidRDefault="008E7653" w:rsidP="002C1112">
            <w:pPr>
              <w:spacing w:after="0" w:line="240" w:lineRule="auto"/>
            </w:pPr>
            <w:r>
              <w:t xml:space="preserve">Roeland Van </w:t>
            </w:r>
            <w:proofErr w:type="spellStart"/>
            <w:r>
              <w:t>Royen</w:t>
            </w:r>
            <w:proofErr w:type="spellEnd"/>
            <w:r>
              <w:t>, consulent procesanalyse</w:t>
            </w:r>
          </w:p>
          <w:p w:rsidR="008E7653" w:rsidRPr="00474A45" w:rsidRDefault="008E7653" w:rsidP="002C1112">
            <w:pPr>
              <w:spacing w:after="0" w:line="240" w:lineRule="auto"/>
              <w:rPr>
                <w:lang w:val="fr-FR"/>
              </w:rPr>
            </w:pPr>
            <w:r w:rsidRPr="00474A45">
              <w:rPr>
                <w:lang w:val="fr-FR"/>
              </w:rPr>
              <w:t>Tel. 03 860 63 64</w:t>
            </w:r>
          </w:p>
          <w:p w:rsidR="008E7653" w:rsidRDefault="008E7653" w:rsidP="002C1112">
            <w:pPr>
              <w:spacing w:after="0" w:line="240" w:lineRule="auto"/>
              <w:rPr>
                <w:lang w:val="fr-FR"/>
              </w:rPr>
            </w:pPr>
            <w:r w:rsidRPr="00474A45">
              <w:rPr>
                <w:lang w:val="fr-FR"/>
              </w:rPr>
              <w:t xml:space="preserve">e-mail: </w:t>
            </w:r>
            <w:hyperlink r:id="rId6" w:history="1">
              <w:r w:rsidRPr="0034393D">
                <w:rPr>
                  <w:rStyle w:val="Hyperlink"/>
                  <w:lang w:val="fr-FR"/>
                </w:rPr>
                <w:t>roeland.vanroyen@wenz.be</w:t>
              </w:r>
            </w:hyperlink>
          </w:p>
          <w:p w:rsidR="008E7653" w:rsidRDefault="008E7653" w:rsidP="002C1112">
            <w:pPr>
              <w:spacing w:after="0" w:line="240" w:lineRule="auto"/>
            </w:pPr>
            <w:r>
              <w:t>Waterwegen en Zeekanaal NV</w:t>
            </w:r>
          </w:p>
          <w:p w:rsidR="008E7653" w:rsidRPr="002C1112" w:rsidRDefault="008E7653" w:rsidP="002C1112">
            <w:pPr>
              <w:spacing w:after="0" w:line="240" w:lineRule="auto"/>
            </w:pPr>
            <w:r>
              <w:t>Beleidsdomein: MOW</w:t>
            </w:r>
          </w:p>
        </w:tc>
      </w:tr>
      <w:tr w:rsidR="008E7653" w:rsidRPr="002C1112" w:rsidTr="002C1112">
        <w:tc>
          <w:tcPr>
            <w:tcW w:w="2375" w:type="dxa"/>
          </w:tcPr>
          <w:p w:rsidR="008E7653" w:rsidRPr="002C1112" w:rsidRDefault="008E7653" w:rsidP="002C1112">
            <w:pPr>
              <w:spacing w:after="0" w:line="240" w:lineRule="auto"/>
            </w:pPr>
            <w:r w:rsidRPr="002C1112">
              <w:rPr>
                <w:b/>
                <w:color w:val="1F497D"/>
              </w:rPr>
              <w:t>Referentie en documentatiemateriaal</w:t>
            </w:r>
            <w:r w:rsidRPr="002C1112">
              <w:t xml:space="preserve"> </w:t>
            </w:r>
            <w:r w:rsidRPr="002C1112">
              <w:rPr>
                <w:i/>
                <w:sz w:val="18"/>
                <w:szCs w:val="18"/>
              </w:rPr>
              <w:t>(materiaal dat u met collega’s kan delen)</w:t>
            </w:r>
          </w:p>
        </w:tc>
        <w:tc>
          <w:tcPr>
            <w:tcW w:w="6913" w:type="dxa"/>
          </w:tcPr>
          <w:p w:rsidR="008E7653" w:rsidRDefault="008E7653" w:rsidP="00712F24">
            <w:pPr>
              <w:spacing w:after="0" w:line="240" w:lineRule="auto"/>
            </w:pPr>
            <w:r>
              <w:t>Plan van aanpak</w:t>
            </w:r>
          </w:p>
          <w:p w:rsidR="008E7653" w:rsidRDefault="008E7653" w:rsidP="00712F24">
            <w:pPr>
              <w:spacing w:after="0" w:line="240" w:lineRule="auto"/>
            </w:pPr>
            <w:r>
              <w:t xml:space="preserve">Sjabloon </w:t>
            </w:r>
            <w:proofErr w:type="spellStart"/>
            <w:r>
              <w:t>kwetsbaarheidmatrix</w:t>
            </w:r>
            <w:proofErr w:type="spellEnd"/>
          </w:p>
          <w:p w:rsidR="008E7653" w:rsidRDefault="008E7653" w:rsidP="00712F24">
            <w:pPr>
              <w:spacing w:after="0" w:line="240" w:lineRule="auto"/>
            </w:pPr>
            <w:r>
              <w:t>Sjabloon risico kwantificering</w:t>
            </w:r>
          </w:p>
          <w:p w:rsidR="008E7653" w:rsidRDefault="008E7653" w:rsidP="00712F24">
            <w:pPr>
              <w:spacing w:after="0" w:line="240" w:lineRule="auto"/>
            </w:pPr>
            <w:r>
              <w:t>Sjabloon risicofoto</w:t>
            </w:r>
          </w:p>
          <w:p w:rsidR="008E7653" w:rsidRPr="002C1112" w:rsidRDefault="008E7653" w:rsidP="00712F24">
            <w:pPr>
              <w:spacing w:after="0" w:line="240" w:lineRule="auto"/>
            </w:pPr>
            <w:r>
              <w:t>Sjabloon risico-actieplan</w:t>
            </w:r>
          </w:p>
        </w:tc>
      </w:tr>
    </w:tbl>
    <w:p w:rsidR="008E7653" w:rsidRDefault="008E7653"/>
    <w:sectPr w:rsidR="008E7653" w:rsidSect="00AA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1269"/>
    <w:multiLevelType w:val="hybridMultilevel"/>
    <w:tmpl w:val="2E0E2818"/>
    <w:lvl w:ilvl="0" w:tplc="2BEC69A4">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3B"/>
    <w:rsid w:val="00107900"/>
    <w:rsid w:val="001235AB"/>
    <w:rsid w:val="00151489"/>
    <w:rsid w:val="002C1112"/>
    <w:rsid w:val="0034393D"/>
    <w:rsid w:val="00415A58"/>
    <w:rsid w:val="00474A45"/>
    <w:rsid w:val="004E7796"/>
    <w:rsid w:val="006858A2"/>
    <w:rsid w:val="00712F24"/>
    <w:rsid w:val="00720F3B"/>
    <w:rsid w:val="00842677"/>
    <w:rsid w:val="008E7653"/>
    <w:rsid w:val="009A7258"/>
    <w:rsid w:val="00A455AA"/>
    <w:rsid w:val="00A61418"/>
    <w:rsid w:val="00AA1F7E"/>
    <w:rsid w:val="00C02243"/>
    <w:rsid w:val="00CB5206"/>
    <w:rsid w:val="00CB6087"/>
    <w:rsid w:val="00D11AAB"/>
    <w:rsid w:val="00DB4A29"/>
    <w:rsid w:val="00F042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1F7E"/>
    <w:pPr>
      <w:spacing w:after="200" w:line="276" w:lineRule="auto"/>
    </w:pPr>
    <w:rPr>
      <w:lang w:eastAsia="en-US"/>
    </w:rPr>
  </w:style>
  <w:style w:type="paragraph" w:styleId="Kop1">
    <w:name w:val="heading 1"/>
    <w:basedOn w:val="Standaard"/>
    <w:next w:val="Standaard"/>
    <w:link w:val="Kop1Char"/>
    <w:qFormat/>
    <w:locked/>
    <w:rsid w:val="0068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CB6087"/>
    <w:pPr>
      <w:spacing w:after="0" w:line="240" w:lineRule="auto"/>
    </w:pPr>
    <w:rPr>
      <w:rFonts w:ascii="Tahoma" w:hAnsi="Tahoma" w:cs="Tahoma"/>
      <w:sz w:val="16"/>
      <w:szCs w:val="16"/>
      <w:lang w:val="nl-NL" w:eastAsia="nl-NL"/>
    </w:rPr>
  </w:style>
  <w:style w:type="character" w:customStyle="1" w:styleId="BallontekstChar">
    <w:name w:val="Ballontekst Char"/>
    <w:basedOn w:val="Standaardalinea-lettertype"/>
    <w:link w:val="Ballontekst"/>
    <w:uiPriority w:val="99"/>
    <w:semiHidden/>
    <w:locked/>
    <w:rPr>
      <w:rFonts w:ascii="Times New Roman" w:hAnsi="Times New Roman" w:cs="Times New Roman"/>
      <w:sz w:val="2"/>
      <w:lang w:eastAsia="en-US"/>
    </w:rPr>
  </w:style>
  <w:style w:type="paragraph" w:styleId="Lijstalinea">
    <w:name w:val="List Paragraph"/>
    <w:basedOn w:val="Standaard"/>
    <w:uiPriority w:val="99"/>
    <w:qFormat/>
    <w:rsid w:val="00720F3B"/>
    <w:pPr>
      <w:ind w:left="720"/>
      <w:contextualSpacing/>
    </w:pPr>
  </w:style>
  <w:style w:type="table" w:styleId="Tabelraster">
    <w:name w:val="Table Grid"/>
    <w:basedOn w:val="Standaardtabel"/>
    <w:uiPriority w:val="99"/>
    <w:rsid w:val="00720F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474A45"/>
    <w:rPr>
      <w:rFonts w:cs="Times New Roman"/>
      <w:color w:val="0000FF"/>
      <w:u w:val="single"/>
    </w:rPr>
  </w:style>
  <w:style w:type="character" w:customStyle="1" w:styleId="Kop1Char">
    <w:name w:val="Kop 1 Char"/>
    <w:basedOn w:val="Standaardalinea-lettertype"/>
    <w:link w:val="Kop1"/>
    <w:rsid w:val="006858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1F7E"/>
    <w:pPr>
      <w:spacing w:after="200" w:line="276" w:lineRule="auto"/>
    </w:pPr>
    <w:rPr>
      <w:lang w:eastAsia="en-US"/>
    </w:rPr>
  </w:style>
  <w:style w:type="paragraph" w:styleId="Kop1">
    <w:name w:val="heading 1"/>
    <w:basedOn w:val="Standaard"/>
    <w:next w:val="Standaard"/>
    <w:link w:val="Kop1Char"/>
    <w:qFormat/>
    <w:locked/>
    <w:rsid w:val="0068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CB6087"/>
    <w:pPr>
      <w:spacing w:after="0" w:line="240" w:lineRule="auto"/>
    </w:pPr>
    <w:rPr>
      <w:rFonts w:ascii="Tahoma" w:hAnsi="Tahoma" w:cs="Tahoma"/>
      <w:sz w:val="16"/>
      <w:szCs w:val="16"/>
      <w:lang w:val="nl-NL" w:eastAsia="nl-NL"/>
    </w:rPr>
  </w:style>
  <w:style w:type="character" w:customStyle="1" w:styleId="BallontekstChar">
    <w:name w:val="Ballontekst Char"/>
    <w:basedOn w:val="Standaardalinea-lettertype"/>
    <w:link w:val="Ballontekst"/>
    <w:uiPriority w:val="99"/>
    <w:semiHidden/>
    <w:locked/>
    <w:rPr>
      <w:rFonts w:ascii="Times New Roman" w:hAnsi="Times New Roman" w:cs="Times New Roman"/>
      <w:sz w:val="2"/>
      <w:lang w:eastAsia="en-US"/>
    </w:rPr>
  </w:style>
  <w:style w:type="paragraph" w:styleId="Lijstalinea">
    <w:name w:val="List Paragraph"/>
    <w:basedOn w:val="Standaard"/>
    <w:uiPriority w:val="99"/>
    <w:qFormat/>
    <w:rsid w:val="00720F3B"/>
    <w:pPr>
      <w:ind w:left="720"/>
      <w:contextualSpacing/>
    </w:pPr>
  </w:style>
  <w:style w:type="table" w:styleId="Tabelraster">
    <w:name w:val="Table Grid"/>
    <w:basedOn w:val="Standaardtabel"/>
    <w:uiPriority w:val="99"/>
    <w:rsid w:val="00720F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474A45"/>
    <w:rPr>
      <w:rFonts w:cs="Times New Roman"/>
      <w:color w:val="0000FF"/>
      <w:u w:val="single"/>
    </w:rPr>
  </w:style>
  <w:style w:type="character" w:customStyle="1" w:styleId="Kop1Char">
    <w:name w:val="Kop 1 Char"/>
    <w:basedOn w:val="Standaardalinea-lettertype"/>
    <w:link w:val="Kop1"/>
    <w:rsid w:val="006858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eland.vanroyen@wenz.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Sjabloon voorstelling methodiek risicoanalyse integriteit</vt:lpstr>
    </vt:vector>
  </TitlesOfParts>
  <Company>Vlaamse Overheid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voorstelling methodiek risicoanalyse integriteit</dc:title>
  <dc:creator>Kristien Verbraeken</dc:creator>
  <cp:lastModifiedBy>De Wachter, Josefien</cp:lastModifiedBy>
  <cp:revision>3</cp:revision>
  <cp:lastPrinted>2012-02-01T08:36:00Z</cp:lastPrinted>
  <dcterms:created xsi:type="dcterms:W3CDTF">2012-02-08T14:53:00Z</dcterms:created>
  <dcterms:modified xsi:type="dcterms:W3CDTF">2012-10-25T09:50:00Z</dcterms:modified>
</cp:coreProperties>
</file>